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36"/>
          <w:szCs w:val="36"/>
        </w:rPr>
      </w:pPr>
    </w:p>
    <w:p>
      <w:pPr>
        <w:snapToGrid w:val="0"/>
        <w:spacing w:line="360" w:lineRule="auto"/>
        <w:jc w:val="center"/>
        <w:rPr>
          <w:rFonts w:ascii="宋体" w:hAnsi="宋体"/>
          <w:b/>
          <w:sz w:val="44"/>
          <w:szCs w:val="44"/>
        </w:rPr>
      </w:pPr>
    </w:p>
    <w:p>
      <w:pPr>
        <w:snapToGrid w:val="0"/>
        <w:spacing w:line="360" w:lineRule="auto"/>
        <w:jc w:val="center"/>
        <w:rPr>
          <w:rFonts w:ascii="宋体" w:hAnsi="宋体"/>
          <w:b/>
          <w:sz w:val="44"/>
          <w:szCs w:val="44"/>
        </w:rPr>
      </w:pPr>
    </w:p>
    <w:p>
      <w:pPr>
        <w:snapToGrid w:val="0"/>
        <w:spacing w:line="360" w:lineRule="auto"/>
        <w:jc w:val="center"/>
        <w:rPr>
          <w:rFonts w:ascii="宋体" w:hAnsi="宋体"/>
          <w:b/>
          <w:sz w:val="44"/>
          <w:szCs w:val="44"/>
        </w:rPr>
      </w:pPr>
    </w:p>
    <w:p>
      <w:pPr>
        <w:snapToGrid w:val="0"/>
        <w:spacing w:line="360" w:lineRule="auto"/>
        <w:jc w:val="center"/>
        <w:rPr>
          <w:b/>
          <w:sz w:val="52"/>
          <w:szCs w:val="52"/>
        </w:rPr>
      </w:pPr>
      <w:r>
        <w:rPr>
          <w:rFonts w:hint="eastAsia"/>
          <w:b/>
          <w:sz w:val="52"/>
          <w:szCs w:val="52"/>
        </w:rPr>
        <w:t>中共北京市委统战部</w:t>
      </w:r>
    </w:p>
    <w:p>
      <w:pPr>
        <w:snapToGrid w:val="0"/>
        <w:spacing w:line="360" w:lineRule="auto"/>
        <w:jc w:val="center"/>
        <w:rPr>
          <w:b/>
          <w:sz w:val="52"/>
          <w:szCs w:val="52"/>
        </w:rPr>
      </w:pPr>
      <w:r>
        <w:rPr>
          <w:rFonts w:hint="eastAsia"/>
          <w:b/>
          <w:sz w:val="52"/>
          <w:szCs w:val="52"/>
        </w:rPr>
        <w:t>部门</w:t>
      </w:r>
      <w:r>
        <w:rPr>
          <w:b/>
          <w:sz w:val="52"/>
          <w:szCs w:val="52"/>
        </w:rPr>
        <w:t>整体支出绩效评价报告</w:t>
      </w:r>
    </w:p>
    <w:p>
      <w:pPr>
        <w:snapToGrid w:val="0"/>
        <w:spacing w:line="360" w:lineRule="auto"/>
        <w:ind w:firstLine="600"/>
        <w:rPr>
          <w:sz w:val="30"/>
        </w:rPr>
      </w:pPr>
    </w:p>
    <w:p>
      <w:pPr>
        <w:snapToGrid w:val="0"/>
        <w:spacing w:line="360" w:lineRule="auto"/>
        <w:ind w:firstLine="640"/>
        <w:jc w:val="center"/>
        <w:rPr>
          <w:rFonts w:eastAsia="仿宋_GB2312"/>
          <w:sz w:val="32"/>
          <w:szCs w:val="32"/>
        </w:rPr>
      </w:pPr>
    </w:p>
    <w:p>
      <w:pPr>
        <w:snapToGrid w:val="0"/>
        <w:spacing w:line="360" w:lineRule="auto"/>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snapToGrid w:val="0"/>
        <w:spacing w:line="360" w:lineRule="auto"/>
        <w:jc w:val="center"/>
        <w:rPr>
          <w:rFonts w:eastAsia="仿宋_GB2312"/>
          <w:sz w:val="32"/>
          <w:szCs w:val="32"/>
        </w:rPr>
      </w:pPr>
    </w:p>
    <w:p>
      <w:pPr>
        <w:tabs>
          <w:tab w:val="left" w:pos="3825"/>
          <w:tab w:val="center" w:pos="4153"/>
        </w:tabs>
        <w:spacing w:line="560" w:lineRule="exact"/>
        <w:jc w:val="center"/>
        <w:rPr>
          <w:rFonts w:eastAsia="黑体"/>
          <w:sz w:val="36"/>
          <w:szCs w:val="36"/>
        </w:rPr>
      </w:pPr>
      <w:r>
        <w:rPr>
          <w:rFonts w:hint="eastAsia" w:eastAsia="黑体"/>
          <w:sz w:val="36"/>
          <w:szCs w:val="36"/>
        </w:rPr>
        <w:t>中共北京市委统战部</w:t>
      </w:r>
    </w:p>
    <w:p>
      <w:pPr>
        <w:tabs>
          <w:tab w:val="left" w:pos="3825"/>
          <w:tab w:val="center" w:pos="4153"/>
        </w:tabs>
        <w:spacing w:line="560" w:lineRule="exact"/>
        <w:jc w:val="center"/>
        <w:rPr>
          <w:rFonts w:ascii="宋体" w:hAnsi="宋体"/>
          <w:b/>
          <w:sz w:val="44"/>
          <w:szCs w:val="44"/>
        </w:rPr>
      </w:pPr>
      <w:r>
        <w:rPr>
          <w:rFonts w:hint="eastAsia" w:eastAsia="黑体"/>
          <w:sz w:val="36"/>
          <w:szCs w:val="36"/>
        </w:rPr>
        <w:t>二〇二三</w:t>
      </w:r>
      <w:r>
        <w:rPr>
          <w:rFonts w:eastAsia="黑体"/>
          <w:sz w:val="36"/>
          <w:szCs w:val="36"/>
        </w:rPr>
        <w:t>年</w:t>
      </w:r>
      <w:r>
        <w:rPr>
          <w:rFonts w:hint="eastAsia" w:eastAsia="黑体"/>
          <w:sz w:val="36"/>
          <w:szCs w:val="36"/>
        </w:rPr>
        <w:t>五</w:t>
      </w:r>
      <w:r>
        <w:rPr>
          <w:rFonts w:eastAsia="黑体"/>
          <w:sz w:val="36"/>
          <w:szCs w:val="36"/>
        </w:rPr>
        <w:t>月</w:t>
      </w:r>
    </w:p>
    <w:p>
      <w:pPr>
        <w:spacing w:line="560" w:lineRule="exact"/>
        <w:jc w:val="center"/>
        <w:rPr>
          <w:rFonts w:ascii="方正小标宋简体" w:eastAsia="方正小标宋简体"/>
          <w:sz w:val="36"/>
          <w:szCs w:val="36"/>
        </w:rPr>
      </w:pPr>
    </w:p>
    <w:p>
      <w:pPr>
        <w:spacing w:line="560" w:lineRule="exact"/>
        <w:jc w:val="center"/>
        <w:rPr>
          <w:rFonts w:ascii="方正小标宋简体" w:eastAsia="方正小标宋简体"/>
          <w:sz w:val="36"/>
          <w:szCs w:val="36"/>
        </w:rPr>
        <w:sectPr>
          <w:footerReference r:id="rId3" w:type="default"/>
          <w:pgSz w:w="11906" w:h="16838"/>
          <w:pgMar w:top="1440" w:right="1800" w:bottom="1440" w:left="1800" w:header="851" w:footer="964" w:gutter="0"/>
          <w:pgNumType w:start="1"/>
          <w:cols w:space="425" w:num="1"/>
          <w:titlePg/>
          <w:docGrid w:type="lines" w:linePitch="435" w:charSpace="0"/>
        </w:sectPr>
      </w:pPr>
    </w:p>
    <w:p>
      <w:pPr>
        <w:spacing w:after="435" w:afterLines="100" w:line="560" w:lineRule="exact"/>
        <w:jc w:val="center"/>
        <w:rPr>
          <w:rFonts w:ascii="宋体" w:hAnsi="宋体"/>
          <w:b/>
          <w:sz w:val="44"/>
          <w:szCs w:val="44"/>
        </w:rPr>
      </w:pPr>
      <w:r>
        <w:rPr>
          <w:rFonts w:hint="eastAsia" w:ascii="宋体" w:hAnsi="宋体"/>
          <w:b/>
          <w:sz w:val="44"/>
          <w:szCs w:val="44"/>
        </w:rPr>
        <w:t>目 录</w:t>
      </w:r>
    </w:p>
    <w:p>
      <w:pPr>
        <w:pStyle w:val="12"/>
        <w:tabs>
          <w:tab w:val="right" w:leader="dot" w:pos="8296"/>
        </w:tabs>
        <w:spacing w:before="217" w:beforeLines="50"/>
        <w:rPr>
          <w:rStyle w:val="22"/>
          <w:rFonts w:asciiTheme="minorEastAsia" w:hAnsiTheme="minorEastAsia"/>
          <w:sz w:val="28"/>
          <w:szCs w:val="28"/>
        </w:rPr>
      </w:pPr>
      <w:r>
        <w:rPr>
          <w:rFonts w:ascii="方正小标宋简体" w:eastAsia="方正小标宋简体"/>
          <w:sz w:val="36"/>
          <w:szCs w:val="36"/>
        </w:rPr>
        <w:fldChar w:fldCharType="begin"/>
      </w:r>
      <w:r>
        <w:rPr>
          <w:rFonts w:ascii="方正小标宋简体" w:eastAsia="方正小标宋简体"/>
          <w:sz w:val="36"/>
          <w:szCs w:val="36"/>
        </w:rPr>
        <w:instrText xml:space="preserve"> TOC \o "1-2" \h \z \u </w:instrText>
      </w:r>
      <w:r>
        <w:rPr>
          <w:rFonts w:ascii="方正小标宋简体" w:eastAsia="方正小标宋简体"/>
          <w:sz w:val="36"/>
          <w:szCs w:val="36"/>
        </w:rPr>
        <w:fldChar w:fldCharType="separate"/>
      </w:r>
      <w:r>
        <w:fldChar w:fldCharType="begin"/>
      </w:r>
      <w:r>
        <w:instrText xml:space="preserve"> HYPERLINK \l "_Toc135004715" </w:instrText>
      </w:r>
      <w:r>
        <w:fldChar w:fldCharType="separate"/>
      </w:r>
      <w:r>
        <w:rPr>
          <w:rStyle w:val="22"/>
          <w:rFonts w:asciiTheme="minorEastAsia" w:hAnsiTheme="minorEastAsia" w:eastAsiaTheme="minorEastAsia"/>
          <w:sz w:val="28"/>
          <w:szCs w:val="28"/>
        </w:rPr>
        <w:t>一、部门概况</w:t>
      </w:r>
      <w:r>
        <w:rPr>
          <w:rStyle w:val="22"/>
          <w:rFonts w:asciiTheme="minorEastAsia" w:hAnsiTheme="minorEastAsia" w:eastAsiaTheme="minorEastAsia"/>
          <w:sz w:val="28"/>
          <w:szCs w:val="28"/>
        </w:rPr>
        <w:tab/>
      </w:r>
      <w:r>
        <w:rPr>
          <w:rStyle w:val="22"/>
          <w:rFonts w:asciiTheme="minorEastAsia" w:hAnsiTheme="minorEastAsia" w:eastAsiaTheme="minorEastAsia"/>
          <w:sz w:val="28"/>
          <w:szCs w:val="28"/>
        </w:rPr>
        <w:fldChar w:fldCharType="begin"/>
      </w:r>
      <w:r>
        <w:rPr>
          <w:rStyle w:val="22"/>
          <w:rFonts w:asciiTheme="minorEastAsia" w:hAnsiTheme="minorEastAsia" w:eastAsiaTheme="minorEastAsia"/>
          <w:sz w:val="28"/>
          <w:szCs w:val="28"/>
        </w:rPr>
        <w:instrText xml:space="preserve"> PAGEREF _Toc135004715 \h </w:instrText>
      </w:r>
      <w:r>
        <w:rPr>
          <w:rStyle w:val="22"/>
          <w:rFonts w:asciiTheme="minorEastAsia" w:hAnsiTheme="minorEastAsia" w:eastAsiaTheme="minorEastAsia"/>
          <w:sz w:val="28"/>
          <w:szCs w:val="28"/>
        </w:rPr>
        <w:fldChar w:fldCharType="separate"/>
      </w:r>
      <w:r>
        <w:rPr>
          <w:rStyle w:val="22"/>
          <w:rFonts w:asciiTheme="minorEastAsia" w:hAnsiTheme="minorEastAsia" w:eastAsiaTheme="minorEastAsia"/>
          <w:sz w:val="28"/>
          <w:szCs w:val="28"/>
        </w:rPr>
        <w:t>1</w:t>
      </w:r>
      <w:r>
        <w:rPr>
          <w:rStyle w:val="22"/>
          <w:rFonts w:asciiTheme="minorEastAsia" w:hAnsiTheme="minorEastAsia" w:eastAsiaTheme="minorEastAsia"/>
          <w:sz w:val="28"/>
          <w:szCs w:val="28"/>
        </w:rPr>
        <w:fldChar w:fldCharType="end"/>
      </w:r>
      <w:r>
        <w:rPr>
          <w:rStyle w:val="22"/>
          <w:rFonts w:asciiTheme="minorEastAsia" w:hAnsiTheme="minorEastAsia" w:eastAsiaTheme="minorEastAsia"/>
          <w:sz w:val="28"/>
          <w:szCs w:val="28"/>
        </w:rPr>
        <w:fldChar w:fldCharType="end"/>
      </w:r>
    </w:p>
    <w:p>
      <w:pPr>
        <w:pStyle w:val="15"/>
        <w:spacing w:before="217" w:beforeLines="50"/>
        <w:rPr>
          <w:rFonts w:eastAsiaTheme="minorEastAsia" w:cstheme="minorBidi"/>
          <w:sz w:val="28"/>
          <w:szCs w:val="28"/>
        </w:rPr>
      </w:pPr>
      <w:r>
        <w:fldChar w:fldCharType="begin"/>
      </w:r>
      <w:r>
        <w:instrText xml:space="preserve"> HYPERLINK \l "_Toc135004716" </w:instrText>
      </w:r>
      <w:r>
        <w:fldChar w:fldCharType="separate"/>
      </w:r>
      <w:r>
        <w:rPr>
          <w:rStyle w:val="22"/>
          <w:sz w:val="28"/>
          <w:szCs w:val="28"/>
        </w:rPr>
        <w:t>（一）机构设置及职责工作任务情况</w:t>
      </w:r>
      <w:r>
        <w:rPr>
          <w:sz w:val="28"/>
          <w:szCs w:val="28"/>
        </w:rPr>
        <w:tab/>
      </w:r>
      <w:r>
        <w:rPr>
          <w:sz w:val="28"/>
          <w:szCs w:val="28"/>
        </w:rPr>
        <w:fldChar w:fldCharType="begin"/>
      </w:r>
      <w:r>
        <w:rPr>
          <w:sz w:val="28"/>
          <w:szCs w:val="28"/>
        </w:rPr>
        <w:instrText xml:space="preserve"> PAGEREF _Toc135004716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5"/>
        <w:spacing w:before="217" w:beforeLines="50"/>
        <w:rPr>
          <w:rFonts w:eastAsiaTheme="minorEastAsia" w:cstheme="minorBidi"/>
          <w:sz w:val="28"/>
          <w:szCs w:val="28"/>
        </w:rPr>
      </w:pPr>
      <w:r>
        <w:fldChar w:fldCharType="begin"/>
      </w:r>
      <w:r>
        <w:instrText xml:space="preserve"> HYPERLINK \l "_Toc135004717" </w:instrText>
      </w:r>
      <w:r>
        <w:fldChar w:fldCharType="separate"/>
      </w:r>
      <w:r>
        <w:rPr>
          <w:rStyle w:val="22"/>
          <w:sz w:val="28"/>
          <w:szCs w:val="28"/>
        </w:rPr>
        <w:t>（二）部门整体绩效目标设立情况</w:t>
      </w:r>
      <w:r>
        <w:rPr>
          <w:sz w:val="28"/>
          <w:szCs w:val="28"/>
        </w:rPr>
        <w:tab/>
      </w:r>
      <w:r>
        <w:rPr>
          <w:sz w:val="28"/>
          <w:szCs w:val="28"/>
        </w:rPr>
        <w:fldChar w:fldCharType="begin"/>
      </w:r>
      <w:r>
        <w:rPr>
          <w:sz w:val="28"/>
          <w:szCs w:val="28"/>
        </w:rPr>
        <w:instrText xml:space="preserve"> PAGEREF _Toc135004717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2"/>
        <w:tabs>
          <w:tab w:val="right" w:leader="dot" w:pos="8296"/>
        </w:tabs>
        <w:spacing w:before="217" w:beforeLines="50"/>
        <w:rPr>
          <w:rFonts w:asciiTheme="minorEastAsia" w:hAnsiTheme="minorEastAsia" w:eastAsiaTheme="minorEastAsia" w:cstheme="minorBidi"/>
          <w:b w:val="0"/>
          <w:bCs w:val="0"/>
          <w:caps w:val="0"/>
          <w:sz w:val="28"/>
          <w:szCs w:val="28"/>
        </w:rPr>
      </w:pPr>
      <w:r>
        <w:fldChar w:fldCharType="begin"/>
      </w:r>
      <w:r>
        <w:instrText xml:space="preserve"> HYPERLINK \l "_Toc135004718" </w:instrText>
      </w:r>
      <w:r>
        <w:fldChar w:fldCharType="separate"/>
      </w:r>
      <w:r>
        <w:rPr>
          <w:rStyle w:val="22"/>
          <w:rFonts w:asciiTheme="minorEastAsia" w:hAnsiTheme="minorEastAsia" w:eastAsiaTheme="minorEastAsia"/>
          <w:sz w:val="28"/>
          <w:szCs w:val="28"/>
        </w:rPr>
        <w:t>二、当年预算执行情况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_Toc135004718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2"/>
        <w:tabs>
          <w:tab w:val="right" w:leader="dot" w:pos="8296"/>
        </w:tabs>
        <w:spacing w:before="217" w:beforeLines="50"/>
        <w:rPr>
          <w:rFonts w:asciiTheme="minorEastAsia" w:hAnsiTheme="minorEastAsia" w:eastAsiaTheme="minorEastAsia" w:cstheme="minorBidi"/>
          <w:b w:val="0"/>
          <w:bCs w:val="0"/>
          <w:caps w:val="0"/>
          <w:sz w:val="28"/>
          <w:szCs w:val="28"/>
        </w:rPr>
      </w:pPr>
      <w:r>
        <w:fldChar w:fldCharType="begin"/>
      </w:r>
      <w:r>
        <w:instrText xml:space="preserve"> HYPERLINK \l "_Toc135004719" </w:instrText>
      </w:r>
      <w:r>
        <w:fldChar w:fldCharType="separate"/>
      </w:r>
      <w:r>
        <w:rPr>
          <w:rStyle w:val="22"/>
          <w:rFonts w:asciiTheme="minorEastAsia" w:hAnsiTheme="minorEastAsia" w:eastAsiaTheme="minorEastAsia"/>
          <w:sz w:val="28"/>
          <w:szCs w:val="28"/>
        </w:rPr>
        <w:t>三、整体绩效目标实现情况</w:t>
      </w:r>
      <w:r>
        <w:rPr>
          <w:rFonts w:asciiTheme="minorEastAsia" w:hAnsiTheme="minorEastAsia" w:eastAsiaTheme="minorEastAsia"/>
          <w:sz w:val="28"/>
          <w:szCs w:val="28"/>
        </w:rPr>
        <w:tab/>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PAGEREF _Toc135004719 \h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4</w:t>
      </w:r>
      <w:r>
        <w:rPr>
          <w:rFonts w:asciiTheme="minorEastAsia" w:hAnsiTheme="minorEastAsia" w:eastAsiaTheme="minorEastAsia"/>
          <w:sz w:val="28"/>
          <w:szCs w:val="28"/>
        </w:rPr>
        <w:fldChar w:fldCharType="end"/>
      </w:r>
      <w:r>
        <w:rPr>
          <w:rFonts w:asciiTheme="minorEastAsia" w:hAnsiTheme="minorEastAsia" w:eastAsiaTheme="minorEastAsia"/>
          <w:sz w:val="28"/>
          <w:szCs w:val="28"/>
        </w:rPr>
        <w:fldChar w:fldCharType="end"/>
      </w:r>
    </w:p>
    <w:p>
      <w:pPr>
        <w:pStyle w:val="15"/>
        <w:spacing w:before="217" w:beforeLines="50"/>
        <w:rPr>
          <w:rFonts w:eastAsiaTheme="minorEastAsia" w:cstheme="minorBidi"/>
          <w:sz w:val="28"/>
          <w:szCs w:val="28"/>
        </w:rPr>
      </w:pPr>
      <w:r>
        <w:fldChar w:fldCharType="begin"/>
      </w:r>
      <w:r>
        <w:instrText xml:space="preserve"> HYPERLINK \l "_Toc135004720" </w:instrText>
      </w:r>
      <w:r>
        <w:fldChar w:fldCharType="separate"/>
      </w:r>
      <w:r>
        <w:rPr>
          <w:rStyle w:val="22"/>
          <w:sz w:val="28"/>
          <w:szCs w:val="28"/>
        </w:rPr>
        <w:t>（一）产出完成情况分析</w:t>
      </w:r>
      <w:r>
        <w:rPr>
          <w:sz w:val="28"/>
          <w:szCs w:val="28"/>
        </w:rPr>
        <w:tab/>
      </w:r>
      <w:r>
        <w:rPr>
          <w:sz w:val="28"/>
          <w:szCs w:val="28"/>
        </w:rPr>
        <w:fldChar w:fldCharType="begin"/>
      </w:r>
      <w:r>
        <w:rPr>
          <w:sz w:val="28"/>
          <w:szCs w:val="28"/>
        </w:rPr>
        <w:instrText xml:space="preserve"> PAGEREF _Toc135004720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15"/>
        <w:spacing w:before="217" w:beforeLines="50"/>
        <w:rPr>
          <w:rFonts w:eastAsiaTheme="minorEastAsia" w:cstheme="minorBidi"/>
          <w:sz w:val="28"/>
          <w:szCs w:val="28"/>
        </w:rPr>
      </w:pPr>
      <w:r>
        <w:fldChar w:fldCharType="begin"/>
      </w:r>
      <w:r>
        <w:instrText xml:space="preserve"> HYPERLINK \l "_Toc135004721" </w:instrText>
      </w:r>
      <w:r>
        <w:fldChar w:fldCharType="separate"/>
      </w:r>
      <w:r>
        <w:rPr>
          <w:rStyle w:val="22"/>
          <w:sz w:val="28"/>
          <w:szCs w:val="28"/>
        </w:rPr>
        <w:t>（二）效果实现情况分析</w:t>
      </w:r>
      <w:r>
        <w:rPr>
          <w:sz w:val="28"/>
          <w:szCs w:val="28"/>
        </w:rPr>
        <w:tab/>
      </w:r>
      <w:r>
        <w:rPr>
          <w:sz w:val="28"/>
          <w:szCs w:val="28"/>
        </w:rPr>
        <w:fldChar w:fldCharType="begin"/>
      </w:r>
      <w:r>
        <w:rPr>
          <w:sz w:val="28"/>
          <w:szCs w:val="28"/>
        </w:rPr>
        <w:instrText xml:space="preserve"> PAGEREF _Toc135004721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12"/>
        <w:tabs>
          <w:tab w:val="right" w:leader="dot" w:pos="8296"/>
        </w:tabs>
        <w:spacing w:before="217" w:beforeLines="50"/>
        <w:rPr>
          <w:rStyle w:val="22"/>
          <w:rFonts w:asciiTheme="minorEastAsia" w:hAnsiTheme="minorEastAsia"/>
          <w:sz w:val="28"/>
          <w:szCs w:val="28"/>
        </w:rPr>
      </w:pPr>
      <w:r>
        <w:fldChar w:fldCharType="begin"/>
      </w:r>
      <w:r>
        <w:instrText xml:space="preserve"> HYPERLINK \l "_Toc135004722" </w:instrText>
      </w:r>
      <w:r>
        <w:fldChar w:fldCharType="separate"/>
      </w:r>
      <w:r>
        <w:rPr>
          <w:rStyle w:val="22"/>
          <w:rFonts w:asciiTheme="minorEastAsia" w:hAnsiTheme="minorEastAsia" w:eastAsiaTheme="minorEastAsia"/>
          <w:sz w:val="28"/>
          <w:szCs w:val="28"/>
        </w:rPr>
        <w:t>四、预算管理情况分析</w:t>
      </w:r>
      <w:r>
        <w:rPr>
          <w:rStyle w:val="22"/>
          <w:rFonts w:asciiTheme="minorEastAsia" w:hAnsiTheme="minorEastAsia" w:eastAsiaTheme="minorEastAsia"/>
          <w:sz w:val="28"/>
          <w:szCs w:val="28"/>
        </w:rPr>
        <w:tab/>
      </w:r>
      <w:r>
        <w:rPr>
          <w:rStyle w:val="22"/>
          <w:rFonts w:asciiTheme="minorEastAsia" w:hAnsiTheme="minorEastAsia" w:eastAsiaTheme="minorEastAsia"/>
          <w:sz w:val="28"/>
          <w:szCs w:val="28"/>
        </w:rPr>
        <w:fldChar w:fldCharType="begin"/>
      </w:r>
      <w:r>
        <w:rPr>
          <w:rStyle w:val="22"/>
          <w:rFonts w:asciiTheme="minorEastAsia" w:hAnsiTheme="minorEastAsia" w:eastAsiaTheme="minorEastAsia"/>
          <w:sz w:val="28"/>
          <w:szCs w:val="28"/>
        </w:rPr>
        <w:instrText xml:space="preserve"> PAGEREF _Toc135004722 \h </w:instrText>
      </w:r>
      <w:r>
        <w:rPr>
          <w:rStyle w:val="22"/>
          <w:rFonts w:asciiTheme="minorEastAsia" w:hAnsiTheme="minorEastAsia" w:eastAsiaTheme="minorEastAsia"/>
          <w:sz w:val="28"/>
          <w:szCs w:val="28"/>
        </w:rPr>
        <w:fldChar w:fldCharType="separate"/>
      </w:r>
      <w:r>
        <w:rPr>
          <w:rStyle w:val="22"/>
          <w:rFonts w:asciiTheme="minorEastAsia" w:hAnsiTheme="minorEastAsia" w:eastAsiaTheme="minorEastAsia"/>
          <w:sz w:val="28"/>
          <w:szCs w:val="28"/>
        </w:rPr>
        <w:t>12</w:t>
      </w:r>
      <w:r>
        <w:rPr>
          <w:rStyle w:val="22"/>
          <w:rFonts w:asciiTheme="minorEastAsia" w:hAnsiTheme="minorEastAsia" w:eastAsiaTheme="minorEastAsia"/>
          <w:sz w:val="28"/>
          <w:szCs w:val="28"/>
        </w:rPr>
        <w:fldChar w:fldCharType="end"/>
      </w:r>
      <w:r>
        <w:rPr>
          <w:rStyle w:val="22"/>
          <w:rFonts w:asciiTheme="minorEastAsia" w:hAnsiTheme="minorEastAsia" w:eastAsiaTheme="minorEastAsia"/>
          <w:sz w:val="28"/>
          <w:szCs w:val="28"/>
        </w:rPr>
        <w:fldChar w:fldCharType="end"/>
      </w:r>
    </w:p>
    <w:p>
      <w:pPr>
        <w:pStyle w:val="15"/>
        <w:spacing w:before="217" w:beforeLines="50"/>
        <w:rPr>
          <w:rFonts w:eastAsiaTheme="minorEastAsia" w:cstheme="minorBidi"/>
          <w:sz w:val="32"/>
          <w:szCs w:val="22"/>
        </w:rPr>
      </w:pPr>
      <w:r>
        <w:fldChar w:fldCharType="begin"/>
      </w:r>
      <w:r>
        <w:instrText xml:space="preserve"> HYPERLINK \l "_Toc135004723" </w:instrText>
      </w:r>
      <w:r>
        <w:fldChar w:fldCharType="separate"/>
      </w:r>
      <w:r>
        <w:rPr>
          <w:rStyle w:val="22"/>
          <w:sz w:val="28"/>
        </w:rPr>
        <w:t>（一）财务管理</w:t>
      </w:r>
      <w:r>
        <w:rPr>
          <w:sz w:val="28"/>
        </w:rPr>
        <w:tab/>
      </w:r>
      <w:r>
        <w:rPr>
          <w:sz w:val="28"/>
        </w:rPr>
        <w:fldChar w:fldCharType="begin"/>
      </w:r>
      <w:r>
        <w:rPr>
          <w:sz w:val="28"/>
        </w:rPr>
        <w:instrText xml:space="preserve"> PAGEREF _Toc135004723 \h </w:instrText>
      </w:r>
      <w:r>
        <w:rPr>
          <w:sz w:val="28"/>
        </w:rPr>
        <w:fldChar w:fldCharType="separate"/>
      </w:r>
      <w:r>
        <w:rPr>
          <w:sz w:val="28"/>
        </w:rPr>
        <w:t>12</w:t>
      </w:r>
      <w:r>
        <w:rPr>
          <w:sz w:val="28"/>
        </w:rPr>
        <w:fldChar w:fldCharType="end"/>
      </w:r>
      <w:r>
        <w:rPr>
          <w:sz w:val="28"/>
        </w:rPr>
        <w:fldChar w:fldCharType="end"/>
      </w:r>
    </w:p>
    <w:p>
      <w:pPr>
        <w:pStyle w:val="15"/>
        <w:spacing w:before="217" w:beforeLines="50"/>
        <w:rPr>
          <w:rFonts w:eastAsiaTheme="minorEastAsia" w:cstheme="minorBidi"/>
          <w:sz w:val="32"/>
          <w:szCs w:val="22"/>
        </w:rPr>
      </w:pPr>
      <w:r>
        <w:fldChar w:fldCharType="begin"/>
      </w:r>
      <w:r>
        <w:instrText xml:space="preserve"> HYPERLINK \l "_Toc135004724" </w:instrText>
      </w:r>
      <w:r>
        <w:fldChar w:fldCharType="separate"/>
      </w:r>
      <w:r>
        <w:rPr>
          <w:rStyle w:val="22"/>
          <w:sz w:val="28"/>
        </w:rPr>
        <w:t>（二）资产管理</w:t>
      </w:r>
      <w:r>
        <w:rPr>
          <w:sz w:val="28"/>
        </w:rPr>
        <w:tab/>
      </w:r>
      <w:r>
        <w:rPr>
          <w:sz w:val="28"/>
        </w:rPr>
        <w:fldChar w:fldCharType="begin"/>
      </w:r>
      <w:r>
        <w:rPr>
          <w:sz w:val="28"/>
        </w:rPr>
        <w:instrText xml:space="preserve"> PAGEREF _Toc135004724 \h </w:instrText>
      </w:r>
      <w:r>
        <w:rPr>
          <w:sz w:val="28"/>
        </w:rPr>
        <w:fldChar w:fldCharType="separate"/>
      </w:r>
      <w:r>
        <w:rPr>
          <w:sz w:val="28"/>
        </w:rPr>
        <w:t>13</w:t>
      </w:r>
      <w:r>
        <w:rPr>
          <w:sz w:val="28"/>
        </w:rPr>
        <w:fldChar w:fldCharType="end"/>
      </w:r>
      <w:r>
        <w:rPr>
          <w:sz w:val="28"/>
        </w:rPr>
        <w:fldChar w:fldCharType="end"/>
      </w:r>
    </w:p>
    <w:p>
      <w:pPr>
        <w:pStyle w:val="15"/>
        <w:spacing w:before="217" w:beforeLines="50"/>
        <w:rPr>
          <w:rFonts w:eastAsiaTheme="minorEastAsia" w:cstheme="minorBidi"/>
          <w:sz w:val="32"/>
          <w:szCs w:val="22"/>
        </w:rPr>
      </w:pPr>
      <w:r>
        <w:fldChar w:fldCharType="begin"/>
      </w:r>
      <w:r>
        <w:instrText xml:space="preserve"> HYPERLINK \l "_Toc135004725" </w:instrText>
      </w:r>
      <w:r>
        <w:fldChar w:fldCharType="separate"/>
      </w:r>
      <w:r>
        <w:rPr>
          <w:rStyle w:val="22"/>
          <w:sz w:val="28"/>
        </w:rPr>
        <w:t>（三）绩效管理</w:t>
      </w:r>
      <w:r>
        <w:rPr>
          <w:sz w:val="28"/>
        </w:rPr>
        <w:tab/>
      </w:r>
      <w:r>
        <w:rPr>
          <w:sz w:val="28"/>
        </w:rPr>
        <w:fldChar w:fldCharType="begin"/>
      </w:r>
      <w:r>
        <w:rPr>
          <w:sz w:val="28"/>
        </w:rPr>
        <w:instrText xml:space="preserve"> PAGEREF _Toc135004725 \h </w:instrText>
      </w:r>
      <w:r>
        <w:rPr>
          <w:sz w:val="28"/>
        </w:rPr>
        <w:fldChar w:fldCharType="separate"/>
      </w:r>
      <w:r>
        <w:rPr>
          <w:sz w:val="28"/>
        </w:rPr>
        <w:t>14</w:t>
      </w:r>
      <w:r>
        <w:rPr>
          <w:sz w:val="28"/>
        </w:rPr>
        <w:fldChar w:fldCharType="end"/>
      </w:r>
      <w:r>
        <w:rPr>
          <w:sz w:val="28"/>
        </w:rPr>
        <w:fldChar w:fldCharType="end"/>
      </w:r>
    </w:p>
    <w:p>
      <w:pPr>
        <w:pStyle w:val="15"/>
        <w:spacing w:before="217" w:beforeLines="50"/>
        <w:rPr>
          <w:rFonts w:eastAsiaTheme="minorEastAsia" w:cstheme="minorBidi"/>
          <w:sz w:val="32"/>
          <w:szCs w:val="22"/>
        </w:rPr>
      </w:pPr>
      <w:r>
        <w:fldChar w:fldCharType="begin"/>
      </w:r>
      <w:r>
        <w:instrText xml:space="preserve"> HYPERLINK \l "_Toc135004726" </w:instrText>
      </w:r>
      <w:r>
        <w:fldChar w:fldCharType="separate"/>
      </w:r>
      <w:r>
        <w:rPr>
          <w:rStyle w:val="22"/>
          <w:sz w:val="28"/>
        </w:rPr>
        <w:t>（四）结转结余率</w:t>
      </w:r>
      <w:r>
        <w:rPr>
          <w:sz w:val="28"/>
        </w:rPr>
        <w:tab/>
      </w:r>
      <w:r>
        <w:rPr>
          <w:sz w:val="28"/>
        </w:rPr>
        <w:fldChar w:fldCharType="begin"/>
      </w:r>
      <w:r>
        <w:rPr>
          <w:sz w:val="28"/>
        </w:rPr>
        <w:instrText xml:space="preserve"> PAGEREF _Toc135004726 \h </w:instrText>
      </w:r>
      <w:r>
        <w:rPr>
          <w:sz w:val="28"/>
        </w:rPr>
        <w:fldChar w:fldCharType="separate"/>
      </w:r>
      <w:r>
        <w:rPr>
          <w:sz w:val="28"/>
        </w:rPr>
        <w:t>14</w:t>
      </w:r>
      <w:r>
        <w:rPr>
          <w:sz w:val="28"/>
        </w:rPr>
        <w:fldChar w:fldCharType="end"/>
      </w:r>
      <w:r>
        <w:rPr>
          <w:sz w:val="28"/>
        </w:rPr>
        <w:fldChar w:fldCharType="end"/>
      </w:r>
    </w:p>
    <w:p>
      <w:pPr>
        <w:pStyle w:val="15"/>
        <w:spacing w:before="217" w:beforeLines="50"/>
        <w:rPr>
          <w:rFonts w:eastAsiaTheme="minorEastAsia" w:cstheme="minorBidi"/>
          <w:sz w:val="32"/>
          <w:szCs w:val="22"/>
        </w:rPr>
      </w:pPr>
      <w:r>
        <w:fldChar w:fldCharType="begin"/>
      </w:r>
      <w:r>
        <w:instrText xml:space="preserve"> HYPERLINK \l "_Toc135004727" </w:instrText>
      </w:r>
      <w:r>
        <w:fldChar w:fldCharType="separate"/>
      </w:r>
      <w:r>
        <w:rPr>
          <w:rStyle w:val="22"/>
          <w:sz w:val="28"/>
        </w:rPr>
        <w:t>（五）部门预决算差异率</w:t>
      </w:r>
      <w:r>
        <w:rPr>
          <w:sz w:val="28"/>
        </w:rPr>
        <w:tab/>
      </w:r>
      <w:r>
        <w:rPr>
          <w:sz w:val="28"/>
        </w:rPr>
        <w:fldChar w:fldCharType="begin"/>
      </w:r>
      <w:r>
        <w:rPr>
          <w:sz w:val="28"/>
        </w:rPr>
        <w:instrText xml:space="preserve"> PAGEREF _Toc135004727 \h </w:instrText>
      </w:r>
      <w:r>
        <w:rPr>
          <w:sz w:val="28"/>
        </w:rPr>
        <w:fldChar w:fldCharType="separate"/>
      </w:r>
      <w:r>
        <w:rPr>
          <w:sz w:val="28"/>
        </w:rPr>
        <w:t>15</w:t>
      </w:r>
      <w:r>
        <w:rPr>
          <w:sz w:val="28"/>
        </w:rPr>
        <w:fldChar w:fldCharType="end"/>
      </w:r>
      <w:r>
        <w:rPr>
          <w:sz w:val="28"/>
        </w:rPr>
        <w:fldChar w:fldCharType="end"/>
      </w:r>
    </w:p>
    <w:p>
      <w:pPr>
        <w:pStyle w:val="12"/>
        <w:tabs>
          <w:tab w:val="right" w:leader="dot" w:pos="8296"/>
        </w:tabs>
        <w:spacing w:before="217" w:beforeLines="50"/>
        <w:rPr>
          <w:rStyle w:val="22"/>
          <w:rFonts w:asciiTheme="minorEastAsia" w:hAnsiTheme="minorEastAsia"/>
          <w:sz w:val="28"/>
          <w:szCs w:val="28"/>
        </w:rPr>
      </w:pPr>
      <w:r>
        <w:fldChar w:fldCharType="begin"/>
      </w:r>
      <w:r>
        <w:instrText xml:space="preserve"> HYPERLINK \l "_Toc135004728" </w:instrText>
      </w:r>
      <w:r>
        <w:fldChar w:fldCharType="separate"/>
      </w:r>
      <w:r>
        <w:rPr>
          <w:rStyle w:val="22"/>
          <w:rFonts w:asciiTheme="minorEastAsia" w:hAnsiTheme="minorEastAsia" w:eastAsiaTheme="minorEastAsia"/>
          <w:sz w:val="28"/>
          <w:szCs w:val="28"/>
        </w:rPr>
        <w:t>五、总体评价结论</w:t>
      </w:r>
      <w:r>
        <w:rPr>
          <w:rStyle w:val="22"/>
          <w:rFonts w:asciiTheme="minorEastAsia" w:hAnsiTheme="minorEastAsia" w:eastAsiaTheme="minorEastAsia"/>
          <w:sz w:val="28"/>
          <w:szCs w:val="28"/>
        </w:rPr>
        <w:tab/>
      </w:r>
      <w:r>
        <w:rPr>
          <w:rStyle w:val="22"/>
          <w:rFonts w:asciiTheme="minorEastAsia" w:hAnsiTheme="minorEastAsia" w:eastAsiaTheme="minorEastAsia"/>
          <w:sz w:val="28"/>
          <w:szCs w:val="28"/>
        </w:rPr>
        <w:fldChar w:fldCharType="begin"/>
      </w:r>
      <w:r>
        <w:rPr>
          <w:rStyle w:val="22"/>
          <w:rFonts w:asciiTheme="minorEastAsia" w:hAnsiTheme="minorEastAsia" w:eastAsiaTheme="minorEastAsia"/>
          <w:sz w:val="28"/>
          <w:szCs w:val="28"/>
        </w:rPr>
        <w:instrText xml:space="preserve"> PAGEREF _Toc135004728 \h </w:instrText>
      </w:r>
      <w:r>
        <w:rPr>
          <w:rStyle w:val="22"/>
          <w:rFonts w:asciiTheme="minorEastAsia" w:hAnsiTheme="minorEastAsia" w:eastAsiaTheme="minorEastAsia"/>
          <w:sz w:val="28"/>
          <w:szCs w:val="28"/>
        </w:rPr>
        <w:fldChar w:fldCharType="separate"/>
      </w:r>
      <w:r>
        <w:rPr>
          <w:rStyle w:val="22"/>
          <w:rFonts w:asciiTheme="minorEastAsia" w:hAnsiTheme="minorEastAsia" w:eastAsiaTheme="minorEastAsia"/>
          <w:sz w:val="28"/>
          <w:szCs w:val="28"/>
        </w:rPr>
        <w:t>15</w:t>
      </w:r>
      <w:r>
        <w:rPr>
          <w:rStyle w:val="22"/>
          <w:rFonts w:asciiTheme="minorEastAsia" w:hAnsiTheme="minorEastAsia" w:eastAsiaTheme="minorEastAsia"/>
          <w:sz w:val="28"/>
          <w:szCs w:val="28"/>
        </w:rPr>
        <w:fldChar w:fldCharType="end"/>
      </w:r>
      <w:r>
        <w:rPr>
          <w:rStyle w:val="22"/>
          <w:rFonts w:asciiTheme="minorEastAsia" w:hAnsiTheme="minorEastAsia" w:eastAsiaTheme="minorEastAsia"/>
          <w:sz w:val="28"/>
          <w:szCs w:val="28"/>
        </w:rPr>
        <w:fldChar w:fldCharType="end"/>
      </w:r>
    </w:p>
    <w:p>
      <w:pPr>
        <w:pStyle w:val="15"/>
        <w:spacing w:before="217" w:beforeLines="50"/>
        <w:rPr>
          <w:rFonts w:eastAsiaTheme="minorEastAsia" w:cstheme="minorBidi"/>
          <w:sz w:val="32"/>
          <w:szCs w:val="22"/>
        </w:rPr>
      </w:pPr>
      <w:r>
        <w:fldChar w:fldCharType="begin"/>
      </w:r>
      <w:r>
        <w:instrText xml:space="preserve"> HYPERLINK \l "_Toc135004729" </w:instrText>
      </w:r>
      <w:r>
        <w:fldChar w:fldCharType="separate"/>
      </w:r>
      <w:r>
        <w:rPr>
          <w:rStyle w:val="22"/>
          <w:sz w:val="28"/>
        </w:rPr>
        <w:t>（一）评价得分情况</w:t>
      </w:r>
      <w:r>
        <w:rPr>
          <w:sz w:val="28"/>
        </w:rPr>
        <w:tab/>
      </w:r>
      <w:r>
        <w:rPr>
          <w:sz w:val="28"/>
        </w:rPr>
        <w:fldChar w:fldCharType="begin"/>
      </w:r>
      <w:r>
        <w:rPr>
          <w:sz w:val="28"/>
        </w:rPr>
        <w:instrText xml:space="preserve"> PAGEREF _Toc135004729 \h </w:instrText>
      </w:r>
      <w:r>
        <w:rPr>
          <w:sz w:val="28"/>
        </w:rPr>
        <w:fldChar w:fldCharType="separate"/>
      </w:r>
      <w:r>
        <w:rPr>
          <w:sz w:val="28"/>
        </w:rPr>
        <w:t>15</w:t>
      </w:r>
      <w:r>
        <w:rPr>
          <w:sz w:val="28"/>
        </w:rPr>
        <w:fldChar w:fldCharType="end"/>
      </w:r>
      <w:r>
        <w:rPr>
          <w:sz w:val="28"/>
        </w:rPr>
        <w:fldChar w:fldCharType="end"/>
      </w:r>
    </w:p>
    <w:p>
      <w:pPr>
        <w:pStyle w:val="15"/>
        <w:spacing w:before="217" w:beforeLines="50"/>
        <w:rPr>
          <w:rFonts w:eastAsiaTheme="minorEastAsia" w:cstheme="minorBidi"/>
          <w:sz w:val="32"/>
          <w:szCs w:val="22"/>
        </w:rPr>
      </w:pPr>
      <w:r>
        <w:fldChar w:fldCharType="begin"/>
      </w:r>
      <w:r>
        <w:instrText xml:space="preserve"> HYPERLINK \l "_Toc135004730" </w:instrText>
      </w:r>
      <w:r>
        <w:fldChar w:fldCharType="separate"/>
      </w:r>
      <w:r>
        <w:rPr>
          <w:rStyle w:val="22"/>
          <w:sz w:val="28"/>
        </w:rPr>
        <w:t>（二）存在的问题及原因分析</w:t>
      </w:r>
      <w:r>
        <w:rPr>
          <w:sz w:val="28"/>
        </w:rPr>
        <w:tab/>
      </w:r>
      <w:r>
        <w:rPr>
          <w:sz w:val="28"/>
        </w:rPr>
        <w:fldChar w:fldCharType="begin"/>
      </w:r>
      <w:r>
        <w:rPr>
          <w:sz w:val="28"/>
        </w:rPr>
        <w:instrText xml:space="preserve"> PAGEREF _Toc135004730 \h </w:instrText>
      </w:r>
      <w:r>
        <w:rPr>
          <w:sz w:val="28"/>
        </w:rPr>
        <w:fldChar w:fldCharType="separate"/>
      </w:r>
      <w:r>
        <w:rPr>
          <w:sz w:val="28"/>
        </w:rPr>
        <w:t>16</w:t>
      </w:r>
      <w:r>
        <w:rPr>
          <w:sz w:val="28"/>
        </w:rPr>
        <w:fldChar w:fldCharType="end"/>
      </w:r>
      <w:r>
        <w:rPr>
          <w:sz w:val="28"/>
        </w:rPr>
        <w:fldChar w:fldCharType="end"/>
      </w:r>
    </w:p>
    <w:p>
      <w:pPr>
        <w:pStyle w:val="12"/>
        <w:tabs>
          <w:tab w:val="right" w:leader="dot" w:pos="8296"/>
        </w:tabs>
        <w:spacing w:before="217" w:beforeLines="50"/>
        <w:rPr>
          <w:rStyle w:val="22"/>
          <w:rFonts w:asciiTheme="minorEastAsia" w:hAnsiTheme="minorEastAsia"/>
          <w:sz w:val="28"/>
          <w:szCs w:val="28"/>
        </w:rPr>
      </w:pPr>
      <w:r>
        <w:fldChar w:fldCharType="begin"/>
      </w:r>
      <w:r>
        <w:instrText xml:space="preserve"> HYPERLINK \l "_Toc135004731" </w:instrText>
      </w:r>
      <w:r>
        <w:fldChar w:fldCharType="separate"/>
      </w:r>
      <w:r>
        <w:rPr>
          <w:rStyle w:val="22"/>
          <w:rFonts w:asciiTheme="minorEastAsia" w:hAnsiTheme="minorEastAsia" w:eastAsiaTheme="minorEastAsia"/>
          <w:sz w:val="28"/>
          <w:szCs w:val="28"/>
        </w:rPr>
        <w:t>六、措施建议</w:t>
      </w:r>
      <w:r>
        <w:rPr>
          <w:rStyle w:val="22"/>
          <w:rFonts w:asciiTheme="minorEastAsia" w:hAnsiTheme="minorEastAsia" w:eastAsiaTheme="minorEastAsia"/>
          <w:sz w:val="28"/>
          <w:szCs w:val="28"/>
        </w:rPr>
        <w:tab/>
      </w:r>
      <w:r>
        <w:rPr>
          <w:rStyle w:val="22"/>
          <w:rFonts w:asciiTheme="minorEastAsia" w:hAnsiTheme="minorEastAsia" w:eastAsiaTheme="minorEastAsia"/>
          <w:sz w:val="28"/>
          <w:szCs w:val="28"/>
        </w:rPr>
        <w:fldChar w:fldCharType="begin"/>
      </w:r>
      <w:r>
        <w:rPr>
          <w:rStyle w:val="22"/>
          <w:rFonts w:asciiTheme="minorEastAsia" w:hAnsiTheme="minorEastAsia" w:eastAsiaTheme="minorEastAsia"/>
          <w:sz w:val="28"/>
          <w:szCs w:val="28"/>
        </w:rPr>
        <w:instrText xml:space="preserve"> PAGEREF _Toc135004731 \h </w:instrText>
      </w:r>
      <w:r>
        <w:rPr>
          <w:rStyle w:val="22"/>
          <w:rFonts w:asciiTheme="minorEastAsia" w:hAnsiTheme="minorEastAsia" w:eastAsiaTheme="minorEastAsia"/>
          <w:sz w:val="28"/>
          <w:szCs w:val="28"/>
        </w:rPr>
        <w:fldChar w:fldCharType="separate"/>
      </w:r>
      <w:r>
        <w:rPr>
          <w:rStyle w:val="22"/>
          <w:rFonts w:asciiTheme="minorEastAsia" w:hAnsiTheme="minorEastAsia" w:eastAsiaTheme="minorEastAsia"/>
          <w:sz w:val="28"/>
          <w:szCs w:val="28"/>
        </w:rPr>
        <w:t>16</w:t>
      </w:r>
      <w:r>
        <w:rPr>
          <w:rStyle w:val="22"/>
          <w:rFonts w:asciiTheme="minorEastAsia" w:hAnsiTheme="minorEastAsia" w:eastAsiaTheme="minorEastAsia"/>
          <w:sz w:val="28"/>
          <w:szCs w:val="28"/>
        </w:rPr>
        <w:fldChar w:fldCharType="end"/>
      </w:r>
      <w:r>
        <w:rPr>
          <w:rStyle w:val="22"/>
          <w:rFonts w:asciiTheme="minorEastAsia" w:hAnsiTheme="minorEastAsia" w:eastAsiaTheme="minorEastAsia"/>
          <w:sz w:val="28"/>
          <w:szCs w:val="28"/>
        </w:rPr>
        <w:fldChar w:fldCharType="end"/>
      </w:r>
    </w:p>
    <w:p>
      <w:pPr>
        <w:pStyle w:val="12"/>
        <w:tabs>
          <w:tab w:val="right" w:leader="dot" w:pos="8296"/>
        </w:tabs>
        <w:spacing w:before="217" w:beforeLines="50"/>
        <w:rPr>
          <w:rStyle w:val="22"/>
          <w:rFonts w:asciiTheme="minorEastAsia" w:hAnsiTheme="minorEastAsia"/>
          <w:sz w:val="28"/>
          <w:szCs w:val="28"/>
        </w:rPr>
      </w:pPr>
      <w:r>
        <w:fldChar w:fldCharType="begin"/>
      </w:r>
      <w:r>
        <w:instrText xml:space="preserve"> HYPERLINK \l "_Toc135004732" </w:instrText>
      </w:r>
      <w:r>
        <w:fldChar w:fldCharType="separate"/>
      </w:r>
      <w:r>
        <w:rPr>
          <w:rStyle w:val="22"/>
          <w:rFonts w:asciiTheme="minorEastAsia" w:hAnsiTheme="minorEastAsia" w:eastAsiaTheme="minorEastAsia"/>
          <w:sz w:val="28"/>
          <w:szCs w:val="28"/>
        </w:rPr>
        <w:t>七、附件</w:t>
      </w:r>
      <w:r>
        <w:rPr>
          <w:rStyle w:val="22"/>
          <w:rFonts w:asciiTheme="minorEastAsia" w:hAnsiTheme="minorEastAsia" w:eastAsiaTheme="minorEastAsia"/>
          <w:sz w:val="28"/>
          <w:szCs w:val="28"/>
        </w:rPr>
        <w:tab/>
      </w:r>
      <w:r>
        <w:rPr>
          <w:rStyle w:val="22"/>
          <w:rFonts w:asciiTheme="minorEastAsia" w:hAnsiTheme="minorEastAsia" w:eastAsiaTheme="minorEastAsia"/>
          <w:sz w:val="28"/>
          <w:szCs w:val="28"/>
        </w:rPr>
        <w:fldChar w:fldCharType="begin"/>
      </w:r>
      <w:r>
        <w:rPr>
          <w:rStyle w:val="22"/>
          <w:rFonts w:asciiTheme="minorEastAsia" w:hAnsiTheme="minorEastAsia" w:eastAsiaTheme="minorEastAsia"/>
          <w:sz w:val="28"/>
          <w:szCs w:val="28"/>
        </w:rPr>
        <w:instrText xml:space="preserve"> PAGEREF _Toc135004732 \h </w:instrText>
      </w:r>
      <w:r>
        <w:rPr>
          <w:rStyle w:val="22"/>
          <w:rFonts w:asciiTheme="minorEastAsia" w:hAnsiTheme="minorEastAsia" w:eastAsiaTheme="minorEastAsia"/>
          <w:sz w:val="28"/>
          <w:szCs w:val="28"/>
        </w:rPr>
        <w:fldChar w:fldCharType="separate"/>
      </w:r>
      <w:r>
        <w:rPr>
          <w:rStyle w:val="22"/>
          <w:rFonts w:asciiTheme="minorEastAsia" w:hAnsiTheme="minorEastAsia" w:eastAsiaTheme="minorEastAsia"/>
          <w:sz w:val="28"/>
          <w:szCs w:val="28"/>
        </w:rPr>
        <w:t>17</w:t>
      </w:r>
      <w:r>
        <w:rPr>
          <w:rStyle w:val="22"/>
          <w:rFonts w:asciiTheme="minorEastAsia" w:hAnsiTheme="minorEastAsia" w:eastAsiaTheme="minorEastAsia"/>
          <w:sz w:val="28"/>
          <w:szCs w:val="28"/>
        </w:rPr>
        <w:fldChar w:fldCharType="end"/>
      </w:r>
      <w:r>
        <w:rPr>
          <w:rStyle w:val="22"/>
          <w:rFonts w:asciiTheme="minorEastAsia" w:hAnsiTheme="minorEastAsia" w:eastAsiaTheme="minorEastAsia"/>
          <w:sz w:val="28"/>
          <w:szCs w:val="28"/>
        </w:rPr>
        <w:fldChar w:fldCharType="end"/>
      </w:r>
    </w:p>
    <w:p>
      <w:pPr>
        <w:spacing w:line="560" w:lineRule="exact"/>
        <w:jc w:val="center"/>
        <w:rPr>
          <w:rFonts w:ascii="方正小标宋简体" w:eastAsia="方正小标宋简体"/>
          <w:sz w:val="36"/>
          <w:szCs w:val="36"/>
        </w:rPr>
      </w:pPr>
      <w:r>
        <w:rPr>
          <w:rFonts w:ascii="方正小标宋简体" w:eastAsia="方正小标宋简体"/>
          <w:sz w:val="36"/>
          <w:szCs w:val="36"/>
        </w:rPr>
        <w:fldChar w:fldCharType="end"/>
      </w:r>
    </w:p>
    <w:p>
      <w:pPr>
        <w:spacing w:line="560" w:lineRule="exact"/>
        <w:jc w:val="center"/>
        <w:rPr>
          <w:rFonts w:ascii="方正小标宋简体" w:eastAsia="方正小标宋简体"/>
          <w:sz w:val="36"/>
          <w:szCs w:val="36"/>
        </w:rPr>
        <w:sectPr>
          <w:pgSz w:w="11906" w:h="16838"/>
          <w:pgMar w:top="1440" w:right="1800" w:bottom="1440" w:left="1800" w:header="851" w:footer="964" w:gutter="0"/>
          <w:pgNumType w:start="1"/>
          <w:cols w:space="425" w:num="1"/>
          <w:titlePg/>
          <w:docGrid w:type="lines" w:linePitch="435" w:charSpace="0"/>
        </w:sectPr>
      </w:pPr>
    </w:p>
    <w:p>
      <w:pPr>
        <w:spacing w:line="560" w:lineRule="exact"/>
        <w:jc w:val="center"/>
        <w:rPr>
          <w:rFonts w:ascii="宋体" w:hAnsi="宋体"/>
          <w:b/>
          <w:sz w:val="44"/>
          <w:szCs w:val="44"/>
        </w:rPr>
      </w:pPr>
      <w:r>
        <w:rPr>
          <w:rFonts w:hint="eastAsia" w:ascii="宋体" w:hAnsi="宋体"/>
          <w:b/>
          <w:sz w:val="44"/>
          <w:szCs w:val="44"/>
        </w:rPr>
        <w:t>中共北京市委统战部</w:t>
      </w:r>
    </w:p>
    <w:p>
      <w:pPr>
        <w:spacing w:line="560" w:lineRule="exact"/>
        <w:jc w:val="center"/>
        <w:rPr>
          <w:rFonts w:ascii="宋体" w:hAnsi="宋体"/>
          <w:b/>
          <w:sz w:val="44"/>
          <w:szCs w:val="44"/>
        </w:rPr>
      </w:pPr>
      <w:r>
        <w:rPr>
          <w:rFonts w:hint="eastAsia" w:ascii="宋体" w:hAnsi="宋体"/>
          <w:b/>
          <w:sz w:val="44"/>
          <w:szCs w:val="44"/>
        </w:rPr>
        <w:t>部门整体绩效评价报告</w:t>
      </w:r>
    </w:p>
    <w:p>
      <w:pPr>
        <w:spacing w:line="560" w:lineRule="exact"/>
        <w:jc w:val="center"/>
        <w:rPr>
          <w:rFonts w:ascii="方正小标宋简体" w:eastAsia="方正小标宋简体"/>
          <w:sz w:val="36"/>
          <w:szCs w:val="36"/>
        </w:rPr>
      </w:pPr>
    </w:p>
    <w:p>
      <w:pPr>
        <w:jc w:val="center"/>
        <w:rPr>
          <w:rFonts w:ascii="仿宋_GB2312"/>
          <w:szCs w:val="30"/>
        </w:rPr>
      </w:pPr>
    </w:p>
    <w:p>
      <w:pPr>
        <w:pStyle w:val="2"/>
        <w:spacing w:before="217" w:after="217"/>
      </w:pPr>
      <w:bookmarkStart w:id="0" w:name="_Toc135004715"/>
      <w:r>
        <w:rPr>
          <w:rFonts w:hint="eastAsia"/>
        </w:rPr>
        <w:t>一、部门概况</w:t>
      </w:r>
      <w:bookmarkEnd w:id="0"/>
    </w:p>
    <w:p>
      <w:pPr>
        <w:pStyle w:val="3"/>
        <w:ind w:firstLine="643"/>
      </w:pPr>
      <w:bookmarkStart w:id="1" w:name="_Toc135004716"/>
      <w:r>
        <w:rPr>
          <w:rFonts w:hint="eastAsia"/>
        </w:rPr>
        <w:t>（一）机构设置及职责工作任务情况</w:t>
      </w:r>
      <w:bookmarkEnd w:id="1"/>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机构设置情况</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根据中共中央、国务院批准的《北京市机构改革方案》和中共北京市委办公厅关于印发《中共北京市委统一战线工作部职能配置、内设机构和人员编制规定》的通知(京办字[2018]21号)，设置中共北京市委统一战线工作部(简称市委统战部)，对外保留北京市人民政府侨务办公室(简称市政府侨办)牌子。市委统战部内设16个处室，分别为办公室、综合协调处、研究室(政策法规处)、宣传处、党外干部处、民主党派工作处、民族宗教工作处、港澳台统战工作处、非公有制经济工作处、无党派人士和党外知识分子工作处、新的社会阶层人士统战工作处、侨务综合处、侨务政务处、侨务事务处、干部处、机关党委(党建工作处)。本部门包含两家预算单位：中共北京市委统战部本级、北京市党派团体综合服务中心。  </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市委统战部行政编制131人，实有人数12</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人；事业编制51人，实有人数4</w:t>
      </w:r>
      <w:r>
        <w:rPr>
          <w:rFonts w:hint="eastAsia" w:ascii="仿宋_GB2312" w:hAnsi="宋体" w:eastAsia="仿宋_GB2312" w:cs="宋体"/>
          <w:color w:val="000000"/>
          <w:kern w:val="0"/>
          <w:sz w:val="32"/>
          <w:szCs w:val="32"/>
          <w:lang w:val="en-US" w:eastAsia="zh-CN"/>
        </w:rPr>
        <w:t>0</w:t>
      </w:r>
      <w:r>
        <w:rPr>
          <w:rFonts w:hint="eastAsia" w:ascii="仿宋_GB2312" w:hAnsi="宋体" w:eastAsia="仿宋_GB2312" w:cs="宋体"/>
          <w:color w:val="000000"/>
          <w:kern w:val="0"/>
          <w:sz w:val="32"/>
          <w:szCs w:val="32"/>
        </w:rPr>
        <w:t>人；离退休人员67人，其中：离休9人，退休58人。</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 xml:space="preserve"> 职责工作任务情况                   </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中共北京市委统战部是市委负责全市统一战线工作的职能部门。</w:t>
      </w:r>
    </w:p>
    <w:p>
      <w:pPr>
        <w:pStyle w:val="3"/>
        <w:ind w:firstLine="643"/>
      </w:pPr>
      <w:r>
        <w:rPr>
          <w:rFonts w:hint="eastAsia"/>
        </w:rPr>
        <w:t xml:space="preserve"> </w:t>
      </w:r>
      <w:bookmarkStart w:id="2" w:name="_Toc135004717"/>
      <w:r>
        <w:rPr>
          <w:rFonts w:hint="eastAsia"/>
        </w:rPr>
        <w:t>（二）部门整体绩效目标设立情况</w:t>
      </w:r>
      <w:bookmarkEnd w:id="2"/>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部门整体绩效目标</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2022</w:t>
      </w:r>
      <w:r>
        <w:rPr>
          <w:rFonts w:hint="eastAsia" w:ascii="仿宋_GB2312" w:hAnsi="宋体" w:eastAsia="仿宋_GB2312" w:cs="宋体"/>
          <w:color w:val="000000"/>
          <w:kern w:val="0"/>
          <w:sz w:val="32"/>
          <w:szCs w:val="32"/>
        </w:rPr>
        <w:t>年，市委统战部部门绩效目标设定为：深入学习贯彻习近平总书记关于加强和改进统一战线工作的重要思想,开展首都统一战线“奋进新时代 共筑中国梦”系列主题教育活动，扩大统一战线组织覆盖和工作覆盖，创新思想政治引领方式方法,加强统战领域顶层制度设计，完善统战工作制度机制,提升统一战线制度执行力，全力服务决胜全面建成小康社会，提高议政建言质量，推动优化营商环境，维护首都安全稳定,服务冬奥会筹办和“一带一路”建设,加强和改进民主党派、无党派人士自身建设，创新开展新的社会阶层人士统战工作，深入推进民族团结进步创建和我国宗教中国化,深化拓展港澳台争取人心工作，进一步完善大统战工作格局,发挥统战部门牵头协调作用，夯实基层统战工作基础，加强统战干部和党外代表人士队伍建设。</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具体绩效指标：</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产出数量指标：完成各项工作任务。</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产出质量指标：根据各项任务要求，全年任务保质保量完成。</w:t>
      </w:r>
      <w:r>
        <w:rPr>
          <w:rFonts w:hint="eastAsia" w:ascii="仿宋_GB2312" w:hAnsi="宋体" w:eastAsia="仿宋_GB2312" w:cs="宋体"/>
          <w:color w:val="000000"/>
          <w:kern w:val="0"/>
          <w:sz w:val="32"/>
          <w:szCs w:val="32"/>
        </w:rPr>
        <w:tab/>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产出时效指标：按照预算批复，完成全年收支指标及工作任务。</w:t>
      </w:r>
      <w:r>
        <w:rPr>
          <w:rFonts w:hint="eastAsia" w:ascii="仿宋_GB2312" w:hAnsi="宋体" w:eastAsia="仿宋_GB2312" w:cs="宋体"/>
          <w:color w:val="000000"/>
          <w:kern w:val="0"/>
          <w:sz w:val="32"/>
          <w:szCs w:val="32"/>
        </w:rPr>
        <w:tab/>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产出成本指标：严格按照要求编制预算，严格执行预算，少花钱多办事，严格控制实施成本。</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社会效益指标：服务首都全面深化改革，为实现中华民族伟大复兴中国梦的首都篇章做贡献。</w:t>
      </w:r>
      <w:r>
        <w:rPr>
          <w:rFonts w:hint="eastAsia" w:ascii="仿宋_GB2312" w:hAnsi="宋体" w:eastAsia="仿宋_GB2312" w:cs="宋体"/>
          <w:color w:val="000000"/>
          <w:kern w:val="0"/>
          <w:sz w:val="32"/>
          <w:szCs w:val="32"/>
        </w:rPr>
        <w:tab/>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可持续影响指标：扩大统一战线的影响力，营造各方面重视支持统战工作的良好氛围。</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满意度指标：推动统一战线建设与发展。</w:t>
      </w:r>
      <w:r>
        <w:rPr>
          <w:rFonts w:hint="eastAsia" w:ascii="仿宋_GB2312" w:hAnsi="宋体" w:eastAsia="仿宋_GB2312" w:cs="宋体"/>
          <w:color w:val="000000"/>
          <w:kern w:val="0"/>
          <w:sz w:val="32"/>
          <w:szCs w:val="32"/>
        </w:rPr>
        <w:tab/>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绩效目标设立依据</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ascii="仿宋_GB2312" w:hAnsi="宋体" w:eastAsia="仿宋_GB2312" w:cs="宋体"/>
          <w:color w:val="000000"/>
          <w:kern w:val="0"/>
          <w:sz w:val="32"/>
          <w:szCs w:val="32"/>
        </w:rPr>
        <w:t>022</w:t>
      </w:r>
      <w:r>
        <w:rPr>
          <w:rFonts w:hint="eastAsia" w:ascii="仿宋_GB2312" w:hAnsi="宋体" w:eastAsia="仿宋_GB2312" w:cs="宋体"/>
          <w:color w:val="000000"/>
          <w:kern w:val="0"/>
          <w:sz w:val="32"/>
          <w:szCs w:val="32"/>
        </w:rPr>
        <w:t>年，市委统战部以</w:t>
      </w:r>
      <w:r>
        <w:rPr>
          <w:rFonts w:ascii="仿宋_GB2312" w:hAnsi="宋体" w:eastAsia="仿宋_GB2312" w:cs="宋体"/>
          <w:color w:val="000000"/>
          <w:kern w:val="0"/>
          <w:sz w:val="32"/>
          <w:szCs w:val="32"/>
        </w:rPr>
        <w:t>围绕中心、服务大局，</w:t>
      </w:r>
      <w:r>
        <w:rPr>
          <w:rFonts w:hint="eastAsia" w:ascii="仿宋_GB2312" w:hAnsi="宋体" w:eastAsia="仿宋_GB2312" w:cs="宋体"/>
          <w:color w:val="000000"/>
          <w:kern w:val="0"/>
          <w:sz w:val="32"/>
          <w:szCs w:val="32"/>
        </w:rPr>
        <w:t>进一步发挥新时代统一战线法宝作用为目标，</w:t>
      </w:r>
      <w:r>
        <w:rPr>
          <w:rFonts w:ascii="仿宋_GB2312" w:hAnsi="宋体" w:eastAsia="仿宋_GB2312" w:cs="宋体"/>
          <w:color w:val="000000"/>
          <w:kern w:val="0"/>
          <w:sz w:val="32"/>
          <w:szCs w:val="32"/>
        </w:rPr>
        <w:t>以“迎接二十大、学习宣传贯彻二十大精神”为</w:t>
      </w:r>
      <w:r>
        <w:rPr>
          <w:rFonts w:hint="eastAsia" w:ascii="仿宋_GB2312" w:hAnsi="宋体" w:eastAsia="仿宋_GB2312" w:cs="宋体"/>
          <w:color w:val="000000"/>
          <w:kern w:val="0"/>
          <w:sz w:val="32"/>
          <w:szCs w:val="32"/>
        </w:rPr>
        <w:t>主线强化政治引领，深入贯彻落实中央和市委统战工作会议精神，大统战工作格局不断完善。在依据2</w:t>
      </w:r>
      <w:r>
        <w:rPr>
          <w:rFonts w:ascii="仿宋_GB2312" w:hAnsi="宋体" w:eastAsia="仿宋_GB2312" w:cs="宋体"/>
          <w:color w:val="000000"/>
          <w:kern w:val="0"/>
          <w:sz w:val="32"/>
          <w:szCs w:val="32"/>
        </w:rPr>
        <w:t>021</w:t>
      </w:r>
      <w:r>
        <w:rPr>
          <w:rFonts w:hint="eastAsia" w:ascii="仿宋_GB2312" w:hAnsi="宋体" w:eastAsia="仿宋_GB2312" w:cs="宋体"/>
          <w:color w:val="000000"/>
          <w:kern w:val="0"/>
          <w:sz w:val="32"/>
          <w:szCs w:val="32"/>
        </w:rPr>
        <w:t>年工作总结和《市委统一战线工作领导小组2</w:t>
      </w:r>
      <w:r>
        <w:rPr>
          <w:rFonts w:ascii="仿宋_GB2312" w:hAnsi="宋体" w:eastAsia="仿宋_GB2312" w:cs="宋体"/>
          <w:color w:val="000000"/>
          <w:kern w:val="0"/>
          <w:sz w:val="32"/>
          <w:szCs w:val="32"/>
        </w:rPr>
        <w:t>022</w:t>
      </w:r>
      <w:r>
        <w:rPr>
          <w:rFonts w:hint="eastAsia" w:ascii="仿宋_GB2312" w:hAnsi="宋体" w:eastAsia="仿宋_GB2312" w:cs="宋体"/>
          <w:color w:val="000000"/>
          <w:kern w:val="0"/>
          <w:sz w:val="32"/>
          <w:szCs w:val="32"/>
        </w:rPr>
        <w:t>年工作要点》基础上，设定了绩效目标，设立依据充分，决策程序规范。</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 xml:space="preserve"> 目标</w:t>
      </w:r>
      <w:r>
        <w:rPr>
          <w:rFonts w:ascii="仿宋_GB2312" w:hAnsi="宋体" w:eastAsia="仿宋_GB2312" w:cs="宋体"/>
          <w:color w:val="000000"/>
          <w:kern w:val="0"/>
          <w:sz w:val="32"/>
          <w:szCs w:val="32"/>
        </w:rPr>
        <w:t>与</w:t>
      </w:r>
      <w:r>
        <w:rPr>
          <w:rFonts w:hint="eastAsia" w:ascii="仿宋_GB2312" w:hAnsi="宋体" w:eastAsia="仿宋_GB2312" w:cs="宋体"/>
          <w:color w:val="000000"/>
          <w:kern w:val="0"/>
          <w:sz w:val="32"/>
          <w:szCs w:val="32"/>
        </w:rPr>
        <w:t>职责任务匹配情况</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市委统战部2</w:t>
      </w:r>
      <w:r>
        <w:rPr>
          <w:rFonts w:ascii="仿宋_GB2312" w:hAnsi="宋体" w:eastAsia="仿宋_GB2312" w:cs="宋体"/>
          <w:color w:val="000000"/>
          <w:kern w:val="0"/>
          <w:sz w:val="32"/>
          <w:szCs w:val="32"/>
        </w:rPr>
        <w:t>022</w:t>
      </w:r>
      <w:r>
        <w:rPr>
          <w:rFonts w:hint="eastAsia" w:ascii="仿宋_GB2312" w:hAnsi="宋体" w:eastAsia="仿宋_GB2312" w:cs="宋体"/>
          <w:color w:val="000000"/>
          <w:kern w:val="0"/>
          <w:sz w:val="32"/>
          <w:szCs w:val="32"/>
        </w:rPr>
        <w:t>年开展首都统一战线“奋进新时代 共筑中国梦”系列主题教育活动，扩大统一战线组织覆盖和工作覆盖，创新思想政治引领方式方法，加强统战领域顶层制度设计，完善统战工作制度机制,提升统一战线制度执行力，加强和改进民主党派、无党派人士自身建设，创新开展新的社会阶层人士统战工作，深入推进民族团结进步创建和我国宗教中国化，深化拓展港澳台争取人心工作，发挥统战部门牵头协调作用,夯实基层统战工作基础，加强统战干部和党外代表人士队伍建设等目标的设定与市委统战部“负责全市统一战线工作”的部门职责是相符的，目标与职责任务匹配较好。</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目标合理性</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委统战部围绕部门工作设定了总体绩效目标，并在此基础上细化为七类绩效指标，所设立目标与市委统战部职责密切相关，基本符合绩效目标设定要求，较合理。但总体绩效目标与具体绩效指标的匹配性有待进一步加强，指标的细化、量化程度不够。</w:t>
      </w:r>
    </w:p>
    <w:p>
      <w:pPr>
        <w:pStyle w:val="2"/>
        <w:spacing w:before="217" w:after="217"/>
      </w:pPr>
      <w:bookmarkStart w:id="3" w:name="_Toc135004718"/>
      <w:r>
        <w:rPr>
          <w:rFonts w:hint="eastAsia"/>
        </w:rPr>
        <w:t>二</w:t>
      </w:r>
      <w:r>
        <w:t>、</w:t>
      </w:r>
      <w:r>
        <w:rPr>
          <w:rFonts w:hint="eastAsia"/>
        </w:rPr>
        <w:t>当年</w:t>
      </w:r>
      <w:r>
        <w:t>预算执行情况</w:t>
      </w:r>
      <w:bookmarkEnd w:id="3"/>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2022年全年</w:t>
      </w:r>
      <w:r>
        <w:rPr>
          <w:rFonts w:hint="eastAsia" w:ascii="仿宋_GB2312" w:hAnsi="宋体" w:eastAsia="仿宋_GB2312" w:cs="宋体"/>
          <w:color w:val="000000"/>
          <w:kern w:val="0"/>
          <w:sz w:val="32"/>
          <w:szCs w:val="32"/>
        </w:rPr>
        <w:t>预算数</w:t>
      </w:r>
      <w:r>
        <w:rPr>
          <w:rFonts w:ascii="仿宋_GB2312" w:hAnsi="宋体" w:eastAsia="仿宋_GB2312" w:cs="宋体"/>
          <w:color w:val="000000"/>
          <w:kern w:val="0"/>
          <w:sz w:val="32"/>
          <w:szCs w:val="32"/>
        </w:rPr>
        <w:t>11169.46万元，</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预算数8066.87万元，</w:t>
      </w:r>
      <w:r>
        <w:rPr>
          <w:rFonts w:hint="eastAsia" w:ascii="仿宋_GB2312" w:hAnsi="宋体" w:eastAsia="仿宋_GB2312" w:cs="宋体"/>
          <w:color w:val="000000"/>
          <w:kern w:val="0"/>
          <w:sz w:val="32"/>
          <w:szCs w:val="32"/>
        </w:rPr>
        <w:t>项目支出预算数</w:t>
      </w:r>
      <w:r>
        <w:rPr>
          <w:rFonts w:ascii="仿宋_GB2312" w:hAnsi="宋体" w:eastAsia="仿宋_GB2312" w:cs="宋体"/>
          <w:color w:val="000000"/>
          <w:kern w:val="0"/>
          <w:sz w:val="32"/>
          <w:szCs w:val="32"/>
        </w:rPr>
        <w:t>3102.59万元，其他支出</w:t>
      </w:r>
      <w:r>
        <w:rPr>
          <w:rFonts w:hint="eastAsia" w:ascii="仿宋_GB2312" w:hAnsi="宋体" w:eastAsia="仿宋_GB2312" w:cs="宋体"/>
          <w:color w:val="000000"/>
          <w:kern w:val="0"/>
          <w:sz w:val="32"/>
          <w:szCs w:val="32"/>
        </w:rPr>
        <w:t>预算数</w:t>
      </w:r>
      <w:r>
        <w:rPr>
          <w:rFonts w:ascii="仿宋_GB2312" w:hAnsi="宋体" w:eastAsia="仿宋_GB2312" w:cs="宋体"/>
          <w:color w:val="000000"/>
          <w:kern w:val="0"/>
          <w:sz w:val="32"/>
          <w:szCs w:val="32"/>
        </w:rPr>
        <w:t>0万元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10664.56万元，其中，基本支出</w:t>
      </w:r>
      <w:r>
        <w:rPr>
          <w:rFonts w:hint="eastAsia" w:ascii="仿宋_GB2312" w:hAnsi="宋体" w:eastAsia="仿宋_GB2312" w:cs="宋体"/>
          <w:color w:val="000000"/>
          <w:kern w:val="0"/>
          <w:sz w:val="32"/>
          <w:szCs w:val="32"/>
        </w:rPr>
        <w:t>7922</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29</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支出2742</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2</w:t>
      </w:r>
      <w:r>
        <w:rPr>
          <w:rFonts w:ascii="仿宋_GB2312" w:hAnsi="宋体" w:eastAsia="仿宋_GB2312" w:cs="宋体"/>
          <w:color w:val="000000"/>
          <w:kern w:val="0"/>
          <w:sz w:val="32"/>
          <w:szCs w:val="32"/>
        </w:rPr>
        <w:t>7万元，其他支出0万元。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执行率为95.4</w:t>
      </w:r>
      <w:r>
        <w:rPr>
          <w:rFonts w:hint="eastAsia" w:ascii="仿宋_GB2312" w:hAnsi="宋体" w:eastAsia="仿宋_GB2312" w:cs="宋体"/>
          <w:color w:val="000000"/>
          <w:kern w:val="0"/>
          <w:sz w:val="32"/>
          <w:szCs w:val="32"/>
          <w:lang w:val="en-US" w:eastAsia="zh-CN"/>
        </w:rPr>
        <w:t>8</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w:t>
      </w:r>
    </w:p>
    <w:p>
      <w:pPr>
        <w:pStyle w:val="2"/>
        <w:spacing w:before="217" w:after="217"/>
      </w:pPr>
      <w:bookmarkStart w:id="4" w:name="_Toc135004719"/>
      <w:r>
        <w:rPr>
          <w:rFonts w:hint="eastAsia"/>
        </w:rPr>
        <w:t>三</w:t>
      </w:r>
      <w:r>
        <w:t>、整体绩效目标实现情况</w:t>
      </w:r>
      <w:bookmarkEnd w:id="4"/>
    </w:p>
    <w:p>
      <w:pPr>
        <w:pStyle w:val="3"/>
        <w:ind w:firstLine="643"/>
      </w:pPr>
      <w:bookmarkStart w:id="5" w:name="_Toc135004720"/>
      <w:r>
        <w:rPr>
          <w:rFonts w:hint="eastAsia"/>
        </w:rPr>
        <w:t>（一）产出完成情况分析</w:t>
      </w:r>
      <w:bookmarkEnd w:id="5"/>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1.产出数量</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市委统战部2</w:t>
      </w:r>
      <w:r>
        <w:rPr>
          <w:rFonts w:ascii="仿宋_GB2312" w:hAnsi="宋体" w:eastAsia="仿宋_GB2312" w:cs="宋体"/>
          <w:color w:val="000000"/>
          <w:kern w:val="0"/>
          <w:sz w:val="32"/>
          <w:szCs w:val="32"/>
        </w:rPr>
        <w:t>022</w:t>
      </w:r>
      <w:r>
        <w:rPr>
          <w:rFonts w:hint="eastAsia" w:ascii="仿宋_GB2312" w:hAnsi="宋体" w:eastAsia="仿宋_GB2312" w:cs="宋体"/>
          <w:color w:val="000000"/>
          <w:kern w:val="0"/>
          <w:sz w:val="32"/>
          <w:szCs w:val="32"/>
        </w:rPr>
        <w:t>年各项目标任务按部就班的开展，虽然部分工作因疫情等原因进行了调整，但仍然取得了较好的成绩。</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重点工作完成情况简要说明如下：</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1</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政治引领工作不断强化</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深入开展首都统一战线“喜迎二十大、奋进新时代”主题教育，统筹各领域开展各类报告宣讲、座谈研讨、参观考察、文艺展演等活动500余项；举办2022年度北京市民主党派和工商联领导班子成员、无党派人士、政协委员学习班，组织市统战系统1000余人参观“奋进新时代”主题成就展；成立首都统一战线宣讲团，主要领导同志带头宣讲，统战部和口内单位领导班子成员深入分管领域和基层单位针对性宣讲，带动统战各级各类组织开展学习。</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（2）大统战工作格局不断完善</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筹备召开市委统战工作会议，以市委名义制发了《关于加强新时代首都统一战线工作的实施意见》；组织召开市委统战工作领导小组全体会议及各领域联席会议；按照中央统一部署，对《中国共产党统一战线工作条例》贯彻落实情况进行调研检查，提交书面报告；完善市委统战工作领导小组办公室工作制度，制定出台工作细则，规范会议制度，以领导小组及办公室名义印发文件17份、通报2份、专报2期；加大基层统战工作指导力度，启动海淀区新时代基层统战创新试点，成功举办统战工作专题培训班，分6期对全市460余名基层统战领导干部开展轮训等。</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3</w:t>
      </w:r>
      <w:r>
        <w:rPr>
          <w:rFonts w:ascii="仿宋_GB2312" w:hAnsi="宋体" w:eastAsia="仿宋_GB2312" w:cs="宋体"/>
          <w:color w:val="000000"/>
          <w:kern w:val="0"/>
          <w:sz w:val="32"/>
          <w:szCs w:val="32"/>
        </w:rPr>
        <w:t>）统一战线法宝作用进一步彰显</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一是牵头完成</w:t>
      </w:r>
      <w:r>
        <w:rPr>
          <w:rFonts w:hint="eastAsia" w:ascii="仿宋_GB2312" w:hAnsi="宋体" w:eastAsia="仿宋_GB2312" w:cs="宋体"/>
          <w:color w:val="000000"/>
          <w:kern w:val="0"/>
          <w:sz w:val="32"/>
          <w:szCs w:val="32"/>
        </w:rPr>
        <w:t>北京冬奥会、冬残奥会票务和观众组织工作。赛会期间共组织观众9.7万余人次，组织观赛204场，经受住了疫情这个最大的考验。成立首都统一战线同心观赛团，组织各界党外代表人士观礼观赛，冬奥赛场成为最生动的爱国主义教育课堂；二是在疫情防控工作中展现担当。牵头市疫情防控领导小组指导组工作，今年以来，指导组检查点位7000余个，发现问题3600余个，提出建议3000余条，会同有关部门组织业务培训、讲座10余次，覆盖人员上万人次，形成日报告、工作专报、总结报告365篇；三是助力脱贫攻坚和乡村振兴。持续开展民主党派重点支持门头沟区发展“8+1”行动。建成“科技小院”63家，助力平谷区乡村振兴。引导民营企业投身“万企兴万村”行动，累计对接帮扶2566个贫困村，覆盖贫困人口86.6万人。在全市6个区15家社区卫生服务机构部署多功能外呼系统，“同心卫生室”品牌进一步擦亮。</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（4）推动首都多党合作事业持续健康发展</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支持各民主党派市委聚焦监督主题，灵活运用各种监督形式，持续推进专项民主监督工作，今年以来共实地调研30余次，形成30余项阶段性成果。支持各民主党派、无党派人士深入调研、建言献策，共收集各类信息稿件8500余条，采编2864条，编发《每日汇报》203期、《工作专刊》3期。报送《建言专报》61期，其中58期获市委主要领导批示。向中央统战部报送信息986篇，被采用131篇。向市委办公厅报送信息553篇，被采用44篇。</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（5）健全制度机制，工作覆盖面持续扩大</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制定印发《关于加强自由职业人员统战工作的若干措施》、《关于加强注册会计师和资产评估行业统战工作若干措施》等文件。目前，全市已设立统战工作站（点）637个，覆盖16个区341个街道乡镇、2535座楼宇、各级各类园区136个，覆盖新阶层人士近166.6万人。</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（6）系统治理能力进一步提升</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制定出台《关于以铸牢中华民族共同体意识为主线推进新时代首都民族工作高质量发展的实施意见》、《关于坚持我国宗教中国化方向做好新时代北京宗教工作的实施意见》，以市委市政府名义印发。开展民族团结进步宣传月活动，线上组织“5·6”民族团结日主题教育活动启动仪式。在博物馆率先打造铸牢中华民族共同体意识教育实践基地，宣布全市首批列入的31家博物馆名单。开展全国首个中华民族共同体体验馆项目遴选征集工作。</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7</w:t>
      </w:r>
      <w:r>
        <w:rPr>
          <w:rFonts w:hint="eastAsia" w:ascii="仿宋_GB2312" w:hAnsi="宋体" w:eastAsia="仿宋_GB2312" w:cs="宋体"/>
          <w:color w:val="000000"/>
          <w:kern w:val="0"/>
          <w:sz w:val="32"/>
          <w:szCs w:val="32"/>
        </w:rPr>
        <w:t>）深入开展助企纾困，积极促进“两个健康”</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成立助企纾困工作专班，帮助推动解决实际困难。市区两级调研企业和商协会2万余家，收集反映意见问题4700多条；搭建政企沟通、维权服务平台，召开政企对接会300余场，提供法律维权服务4400余次，解决拖欠企业账款、补贴、减税降费等问题2299个，帮助企业申请贷款33.9亿元；发布2022北京民营企业“1+4”百强榜单和调研报告。开展《北京市关于加强新时代民营经济统战工作的实施意见》落实情况检查，发挥典型引领和督查检查“指挥棒”作用，促进“两个健康”。</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（8）构建完善平台载体，港澳台侨和海外统战工作不断走深走实</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举办第二届“携手圆梦——两岸同胞交流研讨活动”，协助召开“同心同行”——2022两岸青年峰会的台湾方面代表座谈，蔡奇同志出席；制定出台《关于加强和改进新时代台联工作的实施意见》、《关于北京市关于&lt;加强常住大陆台胞统战意见&gt;的若干措施》；举办国庆73周年招待会，市委市政府主要领导出席，130余位华侨华人、归侨侨眷、港澳台同胞代表和社会各界代表欢聚一堂，共迎国庆。2022年“文化中国·水立方杯”中文歌曲大赛、侨梦苑北京论坛圆满成功。用心用情做好维护侨益工作，向37个国家的1500多名海外侨界代表人士和留学人员寄送“新春暖心包”，为310余人次旅乌侨胞提供免费专车接送及生活帮助。</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2.产出</w:t>
      </w:r>
      <w:r>
        <w:rPr>
          <w:rFonts w:ascii="仿宋_GB2312" w:hAnsi="宋体" w:eastAsia="仿宋_GB2312" w:cs="宋体"/>
          <w:color w:val="000000"/>
          <w:kern w:val="0"/>
          <w:sz w:val="32"/>
          <w:szCs w:val="32"/>
        </w:rPr>
        <w:t>质量</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年，市委统战部积极开展各项重点工作，履行部门职责，通过预算执行和年度目标的完成，保质保量完成了各项工作。比如：</w:t>
      </w:r>
    </w:p>
    <w:p>
      <w:pPr>
        <w:adjustRightInd w:val="0"/>
        <w:snapToGrid w:val="0"/>
        <w:spacing w:line="360" w:lineRule="auto"/>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为筹备开好中央统战工作会议，时任中央书记处书记、中央统战部部长尤权同志率队，围绕“加强党对统战工作的集中统一领导、构建大统战工作格局”来京调研考察，对我市相关工作给予充分肯定，希望北京统战工作为全国统战系统提供更多新鲜经验；</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仿宋_GB2312" w:eastAsia="仿宋_GB2312" w:cs="仿宋_GB2312"/>
          <w:sz w:val="32"/>
          <w:szCs w:val="32"/>
          <w:lang w:val="en"/>
        </w:rPr>
        <w:t>在疫情防控工作中展现担当，牵头市疫情防控领导小组指导组工作，</w:t>
      </w:r>
      <w:r>
        <w:rPr>
          <w:rFonts w:hint="eastAsia" w:ascii="仿宋_GB2312" w:hAnsi="仿宋_GB2312" w:eastAsia="仿宋_GB2312" w:cs="仿宋_GB2312"/>
          <w:sz w:val="32"/>
          <w:szCs w:val="32"/>
        </w:rPr>
        <w:t>有10余项政策建议得到市委主要领导批示并转化为防控政策；</w:t>
      </w:r>
      <w:r>
        <w:rPr>
          <w:rFonts w:hint="eastAsia" w:ascii="仿宋_GB2312" w:hAnsi="方正小标宋简体" w:eastAsia="仿宋_GB2312" w:cs="方正小标宋简体"/>
          <w:sz w:val="32"/>
          <w:szCs w:val="32"/>
        </w:rPr>
        <w:t>创新开展“同心抗疫·京侨暖巢”服务项目等困侨帮扶工作，社会反响良好，相关经验得到中央统战部高度肯定；</w:t>
      </w:r>
      <w:r>
        <w:rPr>
          <w:rFonts w:hint="eastAsia" w:ascii="仿宋_GB2312" w:hAnsi="宋体" w:eastAsia="仿宋_GB2312" w:cs="宋体"/>
          <w:color w:val="000000"/>
          <w:kern w:val="0"/>
          <w:sz w:val="32"/>
          <w:szCs w:val="32"/>
        </w:rPr>
        <w:t>疫情期间，</w:t>
      </w:r>
      <w:r>
        <w:rPr>
          <w:rFonts w:ascii="仿宋_GB2312" w:hAnsi="宋体" w:eastAsia="仿宋_GB2312" w:cs="宋体"/>
          <w:color w:val="000000"/>
          <w:kern w:val="0"/>
          <w:sz w:val="32"/>
          <w:szCs w:val="32"/>
        </w:rPr>
        <w:t>成立同心抗疫行动指挥部、首都统一战线抗疫志愿服务团，</w:t>
      </w:r>
      <w:r>
        <w:rPr>
          <w:rFonts w:hint="eastAsia" w:ascii="仿宋_GB2312" w:hAnsi="宋体" w:eastAsia="仿宋_GB2312" w:cs="宋体"/>
          <w:color w:val="000000"/>
          <w:kern w:val="0"/>
          <w:sz w:val="32"/>
          <w:szCs w:val="32"/>
        </w:rPr>
        <w:t>统筹资源力量，组织引导各界捐赠资金物资支持重点区和基层防控超过2亿元，</w:t>
      </w:r>
      <w:r>
        <w:rPr>
          <w:rFonts w:ascii="仿宋_GB2312" w:hAnsi="宋体" w:eastAsia="仿宋_GB2312" w:cs="宋体"/>
          <w:color w:val="000000"/>
          <w:kern w:val="0"/>
          <w:sz w:val="32"/>
          <w:szCs w:val="32"/>
        </w:rPr>
        <w:t>画出</w:t>
      </w:r>
      <w:r>
        <w:rPr>
          <w:rFonts w:hint="eastAsia" w:ascii="仿宋_GB2312" w:hAnsi="宋体" w:eastAsia="仿宋_GB2312" w:cs="宋体"/>
          <w:color w:val="000000"/>
          <w:kern w:val="0"/>
          <w:sz w:val="32"/>
          <w:szCs w:val="32"/>
        </w:rPr>
        <w:t>了</w:t>
      </w:r>
      <w:r>
        <w:rPr>
          <w:rFonts w:ascii="仿宋_GB2312" w:hAnsi="宋体" w:eastAsia="仿宋_GB2312" w:cs="宋体"/>
          <w:color w:val="000000"/>
          <w:kern w:val="0"/>
          <w:sz w:val="32"/>
          <w:szCs w:val="32"/>
        </w:rPr>
        <w:t>疫情防控最大同心圆，相关活动被人民日报、新华社、北京日报等报道</w:t>
      </w:r>
      <w:r>
        <w:rPr>
          <w:rFonts w:hint="eastAsia" w:ascii="仿宋_GB2312" w:hAnsi="宋体" w:eastAsia="仿宋_GB2312" w:cs="宋体"/>
          <w:color w:val="000000"/>
          <w:kern w:val="0"/>
          <w:sz w:val="32"/>
          <w:szCs w:val="32"/>
        </w:rPr>
        <w:t>。</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牵头起草《中共北京市委贯彻落实〈中国共产党政治协商工作条例〉的若干措施》，报经市委常委会会议审议通过。</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综上，各绩效成果均充分表明，2</w:t>
      </w:r>
      <w:r>
        <w:rPr>
          <w:rFonts w:ascii="仿宋_GB2312" w:hAnsi="宋体" w:eastAsia="仿宋_GB2312" w:cs="宋体"/>
          <w:color w:val="000000"/>
          <w:kern w:val="0"/>
          <w:sz w:val="32"/>
          <w:szCs w:val="32"/>
        </w:rPr>
        <w:t>022</w:t>
      </w:r>
      <w:r>
        <w:rPr>
          <w:rFonts w:hint="eastAsia" w:ascii="仿宋_GB2312" w:hAnsi="宋体" w:eastAsia="仿宋_GB2312" w:cs="宋体"/>
          <w:color w:val="000000"/>
          <w:kern w:val="0"/>
          <w:sz w:val="32"/>
          <w:szCs w:val="32"/>
        </w:rPr>
        <w:t>年市委统战部产出质量较高。</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3.产出</w:t>
      </w:r>
      <w:r>
        <w:rPr>
          <w:rFonts w:ascii="仿宋_GB2312" w:hAnsi="宋体" w:eastAsia="仿宋_GB2312" w:cs="宋体"/>
          <w:color w:val="000000"/>
          <w:kern w:val="0"/>
          <w:sz w:val="32"/>
          <w:szCs w:val="32"/>
        </w:rPr>
        <w:t>进度</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ascii="仿宋_GB2312" w:hAnsi="宋体" w:eastAsia="仿宋_GB2312" w:cs="宋体"/>
          <w:color w:val="000000"/>
          <w:kern w:val="0"/>
          <w:sz w:val="32"/>
          <w:szCs w:val="32"/>
        </w:rPr>
        <w:t>022</w:t>
      </w:r>
      <w:r>
        <w:rPr>
          <w:rFonts w:hint="eastAsia" w:ascii="仿宋_GB2312" w:hAnsi="宋体" w:eastAsia="仿宋_GB2312" w:cs="宋体"/>
          <w:color w:val="000000"/>
          <w:kern w:val="0"/>
          <w:sz w:val="32"/>
          <w:szCs w:val="32"/>
        </w:rPr>
        <w:t>年初，市委统战部制定了2</w:t>
      </w:r>
      <w:r>
        <w:rPr>
          <w:rFonts w:ascii="仿宋_GB2312" w:hAnsi="宋体" w:eastAsia="仿宋_GB2312" w:cs="宋体"/>
          <w:color w:val="000000"/>
          <w:kern w:val="0"/>
          <w:sz w:val="32"/>
          <w:szCs w:val="32"/>
        </w:rPr>
        <w:t>022</w:t>
      </w:r>
      <w:r>
        <w:rPr>
          <w:rFonts w:hint="eastAsia" w:ascii="仿宋_GB2312" w:hAnsi="宋体" w:eastAsia="仿宋_GB2312" w:cs="宋体"/>
          <w:color w:val="000000"/>
          <w:kern w:val="0"/>
          <w:sz w:val="32"/>
          <w:szCs w:val="32"/>
        </w:rPr>
        <w:t>年度工作计划，各项工作按照年初预算安排有序开展，2</w:t>
      </w:r>
      <w:r>
        <w:rPr>
          <w:rFonts w:ascii="仿宋_GB2312" w:hAnsi="宋体" w:eastAsia="仿宋_GB2312" w:cs="宋体"/>
          <w:color w:val="000000"/>
          <w:kern w:val="0"/>
          <w:sz w:val="32"/>
          <w:szCs w:val="32"/>
        </w:rPr>
        <w:t>022</w:t>
      </w:r>
      <w:r>
        <w:rPr>
          <w:rFonts w:hint="eastAsia" w:ascii="仿宋_GB2312" w:hAnsi="宋体" w:eastAsia="仿宋_GB2312" w:cs="宋体"/>
          <w:color w:val="000000"/>
          <w:kern w:val="0"/>
          <w:sz w:val="32"/>
          <w:szCs w:val="32"/>
        </w:rPr>
        <w:t>年结转率4</w:t>
      </w:r>
      <w:r>
        <w:rPr>
          <w:rFonts w:ascii="仿宋_GB2312" w:hAnsi="宋体" w:eastAsia="仿宋_GB2312" w:cs="宋体"/>
          <w:color w:val="000000"/>
          <w:kern w:val="0"/>
          <w:sz w:val="32"/>
          <w:szCs w:val="32"/>
        </w:rPr>
        <w:t>.52%</w:t>
      </w:r>
      <w:r>
        <w:rPr>
          <w:rFonts w:hint="eastAsia" w:ascii="仿宋_GB2312" w:hAnsi="宋体" w:eastAsia="仿宋_GB2312" w:cs="宋体"/>
          <w:color w:val="000000"/>
          <w:kern w:val="0"/>
          <w:sz w:val="32"/>
          <w:szCs w:val="32"/>
        </w:rPr>
        <w:t>，结转率较低，产出进度较好。</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产出</w:t>
      </w:r>
      <w:r>
        <w:rPr>
          <w:rFonts w:ascii="仿宋_GB2312" w:hAnsi="宋体" w:eastAsia="仿宋_GB2312" w:cs="宋体"/>
          <w:color w:val="000000"/>
          <w:kern w:val="0"/>
          <w:sz w:val="32"/>
          <w:szCs w:val="32"/>
        </w:rPr>
        <w:t>成本</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市委统战部202</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年预算严格执行市财政压缩一般公用支出的要求，过“紧”日子。预算阶段，针对各类重点项目，委托第三方专业评审机构开展预算评审，提高预算申报的科学性、准确性。严格执行政府采购要求，大额专题性支出开展招投标，实施成本管控。预算执行过程中，严格执行相关财务管理制度，各项支出有明确支出标准的严格按照支出标准执行，避免超预算支出。</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评价分析认为，202</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年市委统战部在完成各项任务的同时，产出成本控制较好。</w:t>
      </w:r>
    </w:p>
    <w:p>
      <w:pPr>
        <w:pStyle w:val="3"/>
        <w:ind w:firstLine="643"/>
      </w:pPr>
      <w:bookmarkStart w:id="6" w:name="_Toc135004721"/>
      <w:r>
        <w:rPr>
          <w:rFonts w:hint="eastAsia"/>
        </w:rPr>
        <w:t>（二）效果</w:t>
      </w:r>
      <w:r>
        <w:t>实现情况分析</w:t>
      </w:r>
      <w:bookmarkEnd w:id="6"/>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1.社会效益</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市委统战部2</w:t>
      </w:r>
      <w:r>
        <w:rPr>
          <w:rFonts w:ascii="仿宋_GB2312" w:hAnsi="宋体" w:eastAsia="仿宋_GB2312" w:cs="宋体"/>
          <w:color w:val="000000"/>
          <w:kern w:val="0"/>
          <w:sz w:val="32"/>
          <w:szCs w:val="32"/>
        </w:rPr>
        <w:t>022</w:t>
      </w:r>
      <w:r>
        <w:rPr>
          <w:rFonts w:hint="eastAsia" w:ascii="仿宋_GB2312" w:hAnsi="宋体" w:eastAsia="仿宋_GB2312" w:cs="宋体"/>
          <w:color w:val="000000"/>
          <w:kern w:val="0"/>
          <w:sz w:val="32"/>
          <w:szCs w:val="32"/>
        </w:rPr>
        <w:t>年各项工作取得了较高的社会效益。比如：</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ascii="仿宋_GB2312" w:hAnsi="宋体" w:eastAsia="仿宋_GB2312" w:cs="宋体"/>
          <w:color w:val="000000"/>
          <w:kern w:val="0"/>
          <w:sz w:val="32"/>
          <w:szCs w:val="32"/>
        </w:rPr>
        <w:t>以“迎接二十大、学习宣传贯彻二十大精神”为</w:t>
      </w:r>
      <w:r>
        <w:rPr>
          <w:rFonts w:hint="eastAsia" w:ascii="仿宋_GB2312" w:hAnsi="宋体" w:eastAsia="仿宋_GB2312" w:cs="宋体"/>
          <w:color w:val="000000"/>
          <w:kern w:val="0"/>
          <w:sz w:val="32"/>
          <w:szCs w:val="32"/>
        </w:rPr>
        <w:t>主线，强化政治引领，团结奋斗的共同思想使得政治基础更加牢固。比如，召开“共话百年统战”党的统一战线政策提出100周年理论研讨会等，取得了较显著的社会效益。</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深入贯彻落实中央和市委统战工作会议精神，使得大统战工作格局不断完善。比如，第一时间向市委常委会汇报中央统战工作会议精神及贯彻落实建议，在全市统战系统组织传达学习；按照中央统一部署，对《中国共产党统一战线工作条例》贯彻落实情况进行调研检查，提交书面报告等，都产生了较好的社会效益，推动大统战工作格局不断完善。</w:t>
      </w:r>
    </w:p>
    <w:p>
      <w:pPr>
        <w:adjustRightInd w:val="0"/>
        <w:snapToGrid w:val="0"/>
        <w:spacing w:line="360" w:lineRule="auto"/>
        <w:ind w:firstLine="640" w:firstLineChars="200"/>
        <w:rPr>
          <w:rFonts w:ascii="仿宋_GB2312" w:hAnsi="方正小标宋简体" w:eastAsia="仿宋_GB2312" w:cs="方正小标宋简体"/>
          <w:sz w:val="32"/>
          <w:szCs w:val="32"/>
        </w:rPr>
      </w:pPr>
      <w:r>
        <w:rPr>
          <w:rFonts w:hint="eastAsia" w:ascii="仿宋_GB2312" w:hAnsi="宋体" w:eastAsia="仿宋_GB2312" w:cs="宋体"/>
          <w:color w:val="000000"/>
          <w:kern w:val="0"/>
          <w:sz w:val="32"/>
          <w:szCs w:val="32"/>
        </w:rPr>
        <w:t>（3）</w:t>
      </w:r>
      <w:r>
        <w:rPr>
          <w:rFonts w:hint="eastAsia" w:ascii="仿宋_GB2312" w:hAnsi="方正小标宋简体" w:eastAsia="仿宋_GB2312" w:cs="方正小标宋简体"/>
          <w:sz w:val="32"/>
          <w:szCs w:val="32"/>
        </w:rPr>
        <w:t>与内蒙古统战部签订《京蒙统一战线协作框架协议(2022—2026年)》，首都统一战线助力东西部协作进入新阶段。</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（4）以换届为契机加强参政党建设，推动首都多党合作事业持续健康发展。</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（5）紧扣新时代民族宗教工作主线，系统治理能力进一步提升。</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（6）构建完善平台载体，港澳台侨和海外统战工作不断走深走实。</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（7）党派团体换届圆满完成，市政协换届等工作稳步推进。</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.可持续</w:t>
      </w:r>
      <w:r>
        <w:rPr>
          <w:rFonts w:ascii="仿宋_GB2312" w:hAnsi="宋体" w:eastAsia="仿宋_GB2312" w:cs="宋体"/>
          <w:color w:val="000000"/>
          <w:kern w:val="0"/>
          <w:sz w:val="32"/>
          <w:szCs w:val="32"/>
        </w:rPr>
        <w:t>性影响</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w:t>
      </w:r>
      <w:r>
        <w:rPr>
          <w:rFonts w:ascii="仿宋_GB2312" w:hAnsi="宋体" w:eastAsia="仿宋_GB2312" w:cs="宋体"/>
          <w:color w:val="000000"/>
          <w:kern w:val="0"/>
          <w:sz w:val="32"/>
          <w:szCs w:val="32"/>
        </w:rPr>
        <w:t>022</w:t>
      </w:r>
      <w:r>
        <w:rPr>
          <w:rFonts w:hint="eastAsia" w:ascii="仿宋_GB2312" w:hAnsi="宋体" w:eastAsia="仿宋_GB2312" w:cs="宋体"/>
          <w:color w:val="000000"/>
          <w:kern w:val="0"/>
          <w:sz w:val="32"/>
          <w:szCs w:val="32"/>
        </w:rPr>
        <w:t>年度，市委统战部各类工作的开展形成了可持续的制度机制，都具备产生长远效益的可能。比如：通过吸收部分党外专家参加宣讲团，分领域举办专题论坛、座谈，策划制作话题类视频节目，支持新阶层人士开展相关创作等，引导统战成员“主动学、深入悟、自己讲”，深刻认识“两个确立”的决定性意义，增强“四个意识”、坚定“四个自信”、做到“两个维护”等工作，对受益人员的可持续影响较显著。</w:t>
      </w:r>
    </w:p>
    <w:p>
      <w:pPr>
        <w:pStyle w:val="2"/>
        <w:spacing w:before="217" w:after="217"/>
      </w:pPr>
      <w:bookmarkStart w:id="7" w:name="_Toc135004722"/>
      <w:r>
        <w:rPr>
          <w:rFonts w:hint="eastAsia"/>
        </w:rPr>
        <w:t>四</w:t>
      </w:r>
      <w:r>
        <w:t>、预算管理</w:t>
      </w:r>
      <w:r>
        <w:rPr>
          <w:rFonts w:hint="eastAsia"/>
        </w:rPr>
        <w:t>情况分</w:t>
      </w:r>
      <w:r>
        <w:t>析</w:t>
      </w:r>
      <w:bookmarkEnd w:id="7"/>
    </w:p>
    <w:p>
      <w:pPr>
        <w:pStyle w:val="3"/>
        <w:ind w:firstLine="643"/>
      </w:pPr>
      <w:bookmarkStart w:id="8" w:name="_Toc135004723"/>
      <w:r>
        <w:rPr>
          <w:rFonts w:hint="eastAsia"/>
        </w:rPr>
        <w:t>（一）财务管理</w:t>
      </w:r>
      <w:bookmarkEnd w:id="8"/>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1.财务</w:t>
      </w:r>
      <w:r>
        <w:rPr>
          <w:rFonts w:ascii="仿宋_GB2312" w:hAnsi="宋体" w:eastAsia="仿宋_GB2312" w:cs="宋体"/>
          <w:color w:val="000000"/>
          <w:kern w:val="0"/>
          <w:sz w:val="32"/>
          <w:szCs w:val="32"/>
        </w:rPr>
        <w:t>管理制度健全性</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规范预算管理，市委统战部注重健全内部控制制度，补充完善各类财务管理制度，制度体系健全。比如：中共北京市委统一战线工作部内部控制管理制度；中共北京市委统一战线工作部“三重一大”决策制度；中共北京市委统一战线工作部部领导班子议事决策规则；中共北京市委统一战线工作部预算管理制度；中共北京市委统一战线工作部财务管理制度；中共北京市委统一战线工作部经费支出管理制度；中共北京市委统战部会议（培训）费管理制度；中共北京市委统战部国内公务接待管理制度；中共北京市委统战部差旅费管理制度；中共北京市委统战部公务卡管理制度；中共北京市委统一战线工作部内部控制评价与监督制度；中共北京市委统一战线工作部经济活动相关信息内部公开制度等。</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评价分析认为，市委统战部财务管理制度较健全，对规范预算执行和绩效目标的实现具有重要的指导作用。</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2.资金使用合规性</w:t>
      </w:r>
      <w:r>
        <w:rPr>
          <w:rFonts w:ascii="仿宋_GB2312" w:hAnsi="宋体" w:eastAsia="仿宋_GB2312" w:cs="宋体"/>
          <w:color w:val="000000"/>
          <w:kern w:val="0"/>
          <w:sz w:val="32"/>
          <w:szCs w:val="32"/>
        </w:rPr>
        <w:t>和安全性</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部门预算经批准后，市委统战部对按照市财政局批复的项目预算在单位内部进行指标分解、审批下达，认真遵守政府采购、资产管理、合同管理、绩效管理等财政财务管理相关规定。市委统战部制定了《中共北京市委统一战线工作部内部控制手册（试行）》，其中包括《中共北京市委统一战线工作部经费支出管理制度》、《中共北京市委统一战线工作部财务管理制度》等各项内部控制制度。上述制度均得到了有效执行，把风险降低到最低，同时确保预算执行更加顺畅、监督体系更加完善，使各项开支合规、合法。</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从自查的经费支出情况看和预算执行审计情况来看，制度执行较好，财务记账较为规范，支出凭单、发票等附件较为齐全，资金使用合规性较强，保障了资金使用的安全性，不存在资金挪用等严重违规情况。</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会计</w:t>
      </w:r>
      <w:r>
        <w:rPr>
          <w:rFonts w:ascii="仿宋_GB2312" w:hAnsi="宋体" w:eastAsia="仿宋_GB2312" w:cs="宋体"/>
          <w:color w:val="000000"/>
          <w:kern w:val="0"/>
          <w:sz w:val="32"/>
          <w:szCs w:val="32"/>
        </w:rPr>
        <w:t>基础信息完善性</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从抽查凭证看，市委统战部严格执行《政府会计制度》，规范使用会计科目，完整呈现会计基础信息，规范性较强。</w:t>
      </w:r>
    </w:p>
    <w:p>
      <w:pPr>
        <w:pStyle w:val="3"/>
        <w:ind w:firstLine="643"/>
      </w:pPr>
      <w:bookmarkStart w:id="9" w:name="_Toc135004724"/>
      <w:r>
        <w:rPr>
          <w:rFonts w:hint="eastAsia"/>
        </w:rPr>
        <w:t>（二）资产管理</w:t>
      </w:r>
      <w:bookmarkEnd w:id="9"/>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年末市委统战部资产总量</w:t>
      </w:r>
      <w:r>
        <w:rPr>
          <w:rFonts w:ascii="仿宋_GB2312" w:hAnsi="宋体" w:eastAsia="仿宋_GB2312" w:cs="宋体"/>
          <w:color w:val="000000"/>
          <w:kern w:val="0"/>
          <w:sz w:val="32"/>
          <w:szCs w:val="32"/>
        </w:rPr>
        <w:t>26039.29</w:t>
      </w:r>
      <w:r>
        <w:rPr>
          <w:rFonts w:hint="eastAsia" w:ascii="仿宋_GB2312" w:hAnsi="宋体" w:eastAsia="仿宋_GB2312" w:cs="宋体"/>
          <w:color w:val="000000"/>
          <w:kern w:val="0"/>
          <w:sz w:val="32"/>
          <w:szCs w:val="32"/>
        </w:rPr>
        <w:t>万元，包括：货币资金</w:t>
      </w:r>
      <w:r>
        <w:rPr>
          <w:rFonts w:ascii="仿宋_GB2312" w:hAnsi="宋体" w:eastAsia="仿宋_GB2312" w:cs="宋体"/>
          <w:color w:val="000000"/>
          <w:kern w:val="0"/>
          <w:sz w:val="32"/>
          <w:szCs w:val="32"/>
        </w:rPr>
        <w:t>244.39</w:t>
      </w:r>
      <w:r>
        <w:rPr>
          <w:rFonts w:hint="eastAsia" w:ascii="仿宋_GB2312" w:hAnsi="宋体" w:eastAsia="仿宋_GB2312" w:cs="宋体"/>
          <w:color w:val="000000"/>
          <w:kern w:val="0"/>
          <w:sz w:val="32"/>
          <w:szCs w:val="32"/>
        </w:rPr>
        <w:t>万元，财政应返还额度</w:t>
      </w:r>
      <w:r>
        <w:rPr>
          <w:rFonts w:ascii="仿宋_GB2312" w:hAnsi="宋体" w:eastAsia="仿宋_GB2312" w:cs="宋体"/>
          <w:color w:val="000000"/>
          <w:kern w:val="0"/>
          <w:sz w:val="32"/>
          <w:szCs w:val="32"/>
        </w:rPr>
        <w:t>492.75</w:t>
      </w:r>
      <w:r>
        <w:rPr>
          <w:rFonts w:hint="eastAsia" w:ascii="仿宋_GB2312" w:hAnsi="宋体" w:eastAsia="仿宋_GB2312" w:cs="宋体"/>
          <w:color w:val="000000"/>
          <w:kern w:val="0"/>
          <w:sz w:val="32"/>
          <w:szCs w:val="32"/>
        </w:rPr>
        <w:t>万元，固定资产净值23</w:t>
      </w:r>
      <w:r>
        <w:rPr>
          <w:rFonts w:ascii="仿宋_GB2312" w:hAnsi="宋体" w:eastAsia="仿宋_GB2312" w:cs="宋体"/>
          <w:color w:val="000000"/>
          <w:kern w:val="0"/>
          <w:sz w:val="32"/>
          <w:szCs w:val="32"/>
        </w:rPr>
        <w:t>613.00</w:t>
      </w:r>
      <w:r>
        <w:rPr>
          <w:rFonts w:hint="eastAsia" w:ascii="仿宋_GB2312" w:hAnsi="宋体" w:eastAsia="仿宋_GB2312" w:cs="宋体"/>
          <w:color w:val="000000"/>
          <w:kern w:val="0"/>
          <w:sz w:val="32"/>
          <w:szCs w:val="32"/>
        </w:rPr>
        <w:t>万元，在建工程</w:t>
      </w:r>
      <w:r>
        <w:rPr>
          <w:rFonts w:ascii="仿宋_GB2312" w:hAnsi="宋体" w:eastAsia="仿宋_GB2312" w:cs="宋体"/>
          <w:color w:val="000000"/>
          <w:kern w:val="0"/>
          <w:sz w:val="32"/>
          <w:szCs w:val="32"/>
        </w:rPr>
        <w:t>1689.15</w:t>
      </w:r>
      <w:r>
        <w:rPr>
          <w:rFonts w:hint="eastAsia" w:ascii="仿宋_GB2312" w:hAnsi="宋体" w:eastAsia="仿宋_GB2312" w:cs="宋体"/>
          <w:color w:val="000000"/>
          <w:kern w:val="0"/>
          <w:sz w:val="32"/>
          <w:szCs w:val="32"/>
        </w:rPr>
        <w:t>万元。</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规范资产管理工作，市委统战部制定了《中共北京市委统一战线工作部固定资产管理制度》、《中共北京市委统一战线工作部采购管理制度》等，用以规范资产采购和资产管理业务，预算执行过程中，严格执行相关资产管理制度，规范和加强了市委统战部资产管理工作，维护了国有资产的安全完整、合理配置和有效利用，不存在资产违规使用和超额配置资产等情况。</w:t>
      </w:r>
    </w:p>
    <w:p>
      <w:pPr>
        <w:pStyle w:val="3"/>
        <w:ind w:firstLine="643"/>
      </w:pPr>
      <w:bookmarkStart w:id="10" w:name="_Toc135004725"/>
      <w:r>
        <w:rPr>
          <w:rFonts w:hint="eastAsia"/>
        </w:rPr>
        <w:t>（三）绩效</w:t>
      </w:r>
      <w:r>
        <w:t>管理</w:t>
      </w:r>
      <w:bookmarkEnd w:id="10"/>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领导高度重视的基础上，市委统战部特成立绩效管理领导小组，领导小组由主管财务工作领导担任组长，各职能处室领导任组员，负责协调、处理、决定绩效管理工作中的重大事项，研究解决工作中遇到的重大问题，探索建立适合本单位实际情况的预算绩效管理机制。领导小组下设评价工作小组，由办公室牵头，项目实施部门、中介机构共同成立，负责绩效评价工作的具体实施，协调工作中出现的问题。人员各司其职，保障了部门自评工作的顺利推进。综合评价认为，市委统战部绩效管理工作组织保障较好。但是，对于绩效材料的档案管理不够完备。</w:t>
      </w:r>
    </w:p>
    <w:p>
      <w:pPr>
        <w:pStyle w:val="3"/>
        <w:ind w:firstLine="643"/>
      </w:pPr>
      <w:bookmarkStart w:id="11" w:name="_Toc135004726"/>
      <w:r>
        <w:rPr>
          <w:rFonts w:hint="eastAsia"/>
        </w:rPr>
        <w:t>（四）结转结余率</w:t>
      </w:r>
      <w:bookmarkEnd w:id="11"/>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市委统战部202</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年年初结转3</w:t>
      </w:r>
      <w:r>
        <w:rPr>
          <w:rFonts w:ascii="仿宋_GB2312" w:hAnsi="宋体" w:eastAsia="仿宋_GB2312" w:cs="宋体"/>
          <w:color w:val="000000"/>
          <w:kern w:val="0"/>
          <w:sz w:val="32"/>
          <w:szCs w:val="32"/>
        </w:rPr>
        <w:t>0.27</w:t>
      </w:r>
      <w:r>
        <w:rPr>
          <w:rFonts w:hint="eastAsia" w:ascii="仿宋_GB2312" w:hAnsi="宋体" w:eastAsia="仿宋_GB2312" w:cs="宋体"/>
          <w:color w:val="000000"/>
          <w:kern w:val="0"/>
          <w:sz w:val="32"/>
          <w:szCs w:val="32"/>
        </w:rPr>
        <w:t>万元，本年收入11</w:t>
      </w:r>
      <w:r>
        <w:rPr>
          <w:rFonts w:ascii="仿宋_GB2312" w:hAnsi="宋体" w:eastAsia="仿宋_GB2312" w:cs="宋体"/>
          <w:color w:val="000000"/>
          <w:kern w:val="0"/>
          <w:sz w:val="32"/>
          <w:szCs w:val="32"/>
        </w:rPr>
        <w:t>139.18</w:t>
      </w:r>
      <w:r>
        <w:rPr>
          <w:rFonts w:hint="eastAsia" w:ascii="仿宋_GB2312" w:hAnsi="宋体" w:eastAsia="仿宋_GB2312" w:cs="宋体"/>
          <w:color w:val="000000"/>
          <w:kern w:val="0"/>
          <w:sz w:val="32"/>
          <w:szCs w:val="32"/>
        </w:rPr>
        <w:t>万元，实际支出10</w:t>
      </w:r>
      <w:r>
        <w:rPr>
          <w:rFonts w:ascii="仿宋_GB2312" w:hAnsi="宋体" w:eastAsia="仿宋_GB2312" w:cs="宋体"/>
          <w:color w:val="000000"/>
          <w:kern w:val="0"/>
          <w:sz w:val="32"/>
          <w:szCs w:val="32"/>
        </w:rPr>
        <w:t>664</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56</w:t>
      </w:r>
      <w:r>
        <w:rPr>
          <w:rFonts w:hint="eastAsia" w:ascii="仿宋_GB2312" w:hAnsi="宋体" w:eastAsia="仿宋_GB2312" w:cs="宋体"/>
          <w:color w:val="000000"/>
          <w:kern w:val="0"/>
          <w:sz w:val="32"/>
          <w:szCs w:val="32"/>
        </w:rPr>
        <w:t>万元，结转结余</w:t>
      </w:r>
      <w:r>
        <w:rPr>
          <w:rFonts w:ascii="仿宋_GB2312" w:hAnsi="宋体" w:eastAsia="仿宋_GB2312" w:cs="宋体"/>
          <w:color w:val="000000"/>
          <w:kern w:val="0"/>
          <w:sz w:val="32"/>
          <w:szCs w:val="32"/>
        </w:rPr>
        <w:t>504.90</w:t>
      </w:r>
      <w:r>
        <w:rPr>
          <w:rFonts w:hint="eastAsia" w:ascii="仿宋_GB2312" w:hAnsi="宋体" w:eastAsia="仿宋_GB2312" w:cs="宋体"/>
          <w:color w:val="000000"/>
          <w:kern w:val="0"/>
          <w:sz w:val="32"/>
          <w:szCs w:val="32"/>
        </w:rPr>
        <w:t>万元，结转结余率</w:t>
      </w:r>
      <w:r>
        <w:rPr>
          <w:rFonts w:ascii="仿宋_GB2312" w:hAnsi="宋体" w:eastAsia="仿宋_GB2312" w:cs="宋体"/>
          <w:color w:val="000000"/>
          <w:kern w:val="0"/>
          <w:sz w:val="32"/>
          <w:szCs w:val="32"/>
        </w:rPr>
        <w:t>4.</w:t>
      </w:r>
      <w:r>
        <w:rPr>
          <w:rFonts w:hint="eastAsia" w:ascii="仿宋_GB2312" w:hAnsi="宋体" w:eastAsia="仿宋_GB2312" w:cs="宋体"/>
          <w:color w:val="000000"/>
          <w:kern w:val="0"/>
          <w:sz w:val="32"/>
          <w:szCs w:val="32"/>
        </w:rPr>
        <w:t>5</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具体结转结余情况如表1所示。</w:t>
      </w:r>
    </w:p>
    <w:p>
      <w:pPr>
        <w:adjustRightInd w:val="0"/>
        <w:snapToGrid w:val="0"/>
        <w:jc w:val="center"/>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表1</w:t>
      </w:r>
      <w:r>
        <w:rPr>
          <w:rFonts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资金结转结余情况表</w:t>
      </w:r>
    </w:p>
    <w:p>
      <w:pPr>
        <w:adjustRightInd w:val="0"/>
        <w:snapToGrid w:val="0"/>
        <w:ind w:firstLine="560" w:firstLineChars="200"/>
        <w:jc w:val="right"/>
        <w:rPr>
          <w:rFonts w:ascii="仿宋" w:hAnsi="仿宋" w:eastAsia="仿宋" w:cs="仿宋"/>
          <w:sz w:val="28"/>
          <w:szCs w:val="28"/>
        </w:rPr>
      </w:pPr>
      <w:r>
        <w:rPr>
          <w:rFonts w:hint="eastAsia" w:ascii="仿宋" w:hAnsi="仿宋" w:eastAsia="仿宋" w:cs="仿宋"/>
          <w:sz w:val="28"/>
          <w:szCs w:val="28"/>
        </w:rPr>
        <w:t>单位：万元</w:t>
      </w:r>
    </w:p>
    <w:tbl>
      <w:tblPr>
        <w:tblStyle w:val="20"/>
        <w:tblW w:w="9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89"/>
        <w:gridCol w:w="1559"/>
        <w:gridCol w:w="1418"/>
        <w:gridCol w:w="167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418" w:type="dxa"/>
            <w:vMerge w:val="restart"/>
            <w:shd w:val="clear" w:color="FFFFFF" w:fill="F1F1F1" w:themeFill="background1" w:themeFillShade="F2"/>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年初结余</w:t>
            </w:r>
          </w:p>
        </w:tc>
        <w:tc>
          <w:tcPr>
            <w:tcW w:w="1589" w:type="dxa"/>
            <w:vMerge w:val="restart"/>
            <w:shd w:val="clear" w:color="FFFFFF" w:fill="F1F1F1" w:themeFill="background1" w:themeFillShade="F2"/>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本年收入</w:t>
            </w:r>
          </w:p>
        </w:tc>
        <w:tc>
          <w:tcPr>
            <w:tcW w:w="1559" w:type="dxa"/>
            <w:vMerge w:val="restart"/>
            <w:shd w:val="clear" w:color="FFFFFF" w:fill="F1F1F1" w:themeFill="background1" w:themeFillShade="F2"/>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本年支出</w:t>
            </w:r>
          </w:p>
        </w:tc>
        <w:tc>
          <w:tcPr>
            <w:tcW w:w="4649" w:type="dxa"/>
            <w:gridSpan w:val="3"/>
            <w:shd w:val="clear" w:color="FFFFFF" w:fill="F1F1F1" w:themeFill="background1" w:themeFillShade="F2"/>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年末结转和结余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8" w:type="dxa"/>
            <w:vMerge w:val="continue"/>
            <w:shd w:val="clear" w:color="FFFFFF" w:fill="F1F1F1" w:themeFill="background1" w:themeFillShade="F2"/>
            <w:vAlign w:val="center"/>
          </w:tcPr>
          <w:p>
            <w:pPr>
              <w:adjustRightInd w:val="0"/>
              <w:snapToGrid w:val="0"/>
              <w:jc w:val="center"/>
              <w:rPr>
                <w:rFonts w:ascii="宋体" w:hAnsi="宋体" w:cs="宋体"/>
                <w:color w:val="000000"/>
                <w:sz w:val="24"/>
              </w:rPr>
            </w:pPr>
          </w:p>
        </w:tc>
        <w:tc>
          <w:tcPr>
            <w:tcW w:w="1589" w:type="dxa"/>
            <w:vMerge w:val="continue"/>
            <w:shd w:val="clear" w:color="FFFFFF" w:fill="F1F1F1" w:themeFill="background1" w:themeFillShade="F2"/>
            <w:vAlign w:val="center"/>
          </w:tcPr>
          <w:p>
            <w:pPr>
              <w:adjustRightInd w:val="0"/>
              <w:snapToGrid w:val="0"/>
              <w:jc w:val="center"/>
              <w:rPr>
                <w:rFonts w:ascii="宋体" w:hAnsi="宋体" w:cs="宋体"/>
                <w:color w:val="000000"/>
                <w:sz w:val="24"/>
              </w:rPr>
            </w:pPr>
          </w:p>
        </w:tc>
        <w:tc>
          <w:tcPr>
            <w:tcW w:w="1559" w:type="dxa"/>
            <w:vMerge w:val="continue"/>
            <w:shd w:val="clear" w:color="FFFFFF" w:fill="F1F1F1" w:themeFill="background1" w:themeFillShade="F2"/>
            <w:vAlign w:val="center"/>
          </w:tcPr>
          <w:p>
            <w:pPr>
              <w:adjustRightInd w:val="0"/>
              <w:snapToGrid w:val="0"/>
              <w:jc w:val="center"/>
              <w:rPr>
                <w:rFonts w:ascii="宋体" w:hAnsi="宋体" w:cs="宋体"/>
                <w:color w:val="000000"/>
                <w:sz w:val="24"/>
              </w:rPr>
            </w:pPr>
          </w:p>
        </w:tc>
        <w:tc>
          <w:tcPr>
            <w:tcW w:w="1418" w:type="dxa"/>
            <w:vMerge w:val="restart"/>
            <w:shd w:val="clear" w:color="FFFFFF" w:fill="F1F1F1" w:themeFill="background1" w:themeFillShade="F2"/>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合计</w:t>
            </w:r>
          </w:p>
        </w:tc>
        <w:tc>
          <w:tcPr>
            <w:tcW w:w="1671" w:type="dxa"/>
            <w:vMerge w:val="restart"/>
            <w:shd w:val="clear" w:color="FFFFFF" w:fill="F1F1F1" w:themeFill="background1" w:themeFillShade="F2"/>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基本支出结转</w:t>
            </w:r>
          </w:p>
        </w:tc>
        <w:tc>
          <w:tcPr>
            <w:tcW w:w="1560" w:type="dxa"/>
            <w:vMerge w:val="restart"/>
            <w:shd w:val="clear" w:color="FFFFFF" w:fill="F1F1F1" w:themeFill="background1" w:themeFillShade="F2"/>
            <w:vAlign w:val="center"/>
          </w:tcPr>
          <w:p>
            <w:pPr>
              <w:widowControl/>
              <w:adjustRightInd w:val="0"/>
              <w:snapToGrid w:val="0"/>
              <w:jc w:val="center"/>
              <w:textAlignment w:val="center"/>
              <w:rPr>
                <w:rFonts w:ascii="宋体" w:hAnsi="宋体" w:cs="宋体"/>
                <w:color w:val="000000"/>
                <w:sz w:val="24"/>
              </w:rPr>
            </w:pPr>
            <w:r>
              <w:rPr>
                <w:rFonts w:hint="eastAsia" w:ascii="宋体" w:hAnsi="宋体" w:cs="宋体"/>
                <w:color w:val="000000"/>
                <w:kern w:val="0"/>
                <w:sz w:val="24"/>
                <w:lang w:bidi="ar"/>
              </w:rPr>
              <w:t>项目支出结转和结余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18" w:type="dxa"/>
            <w:vMerge w:val="continue"/>
            <w:shd w:val="clear" w:color="FFFFFF" w:fill="F1F1F1" w:themeFill="background1" w:themeFillShade="F2"/>
            <w:vAlign w:val="center"/>
          </w:tcPr>
          <w:p>
            <w:pPr>
              <w:jc w:val="center"/>
              <w:rPr>
                <w:rFonts w:ascii="宋体" w:hAnsi="宋体" w:cs="宋体"/>
                <w:color w:val="000000"/>
                <w:sz w:val="24"/>
              </w:rPr>
            </w:pPr>
          </w:p>
        </w:tc>
        <w:tc>
          <w:tcPr>
            <w:tcW w:w="1589" w:type="dxa"/>
            <w:vMerge w:val="continue"/>
            <w:shd w:val="clear" w:color="FFFFFF" w:fill="F1F1F1" w:themeFill="background1" w:themeFillShade="F2"/>
            <w:vAlign w:val="center"/>
          </w:tcPr>
          <w:p>
            <w:pPr>
              <w:jc w:val="center"/>
              <w:rPr>
                <w:rFonts w:ascii="宋体" w:hAnsi="宋体" w:cs="宋体"/>
                <w:color w:val="000000"/>
                <w:sz w:val="24"/>
              </w:rPr>
            </w:pPr>
          </w:p>
        </w:tc>
        <w:tc>
          <w:tcPr>
            <w:tcW w:w="1559" w:type="dxa"/>
            <w:vMerge w:val="continue"/>
            <w:shd w:val="clear" w:color="FFFFFF" w:fill="F1F1F1" w:themeFill="background1" w:themeFillShade="F2"/>
            <w:vAlign w:val="center"/>
          </w:tcPr>
          <w:p>
            <w:pPr>
              <w:jc w:val="center"/>
              <w:rPr>
                <w:rFonts w:ascii="宋体" w:hAnsi="宋体" w:cs="宋体"/>
                <w:color w:val="000000"/>
                <w:sz w:val="24"/>
              </w:rPr>
            </w:pPr>
          </w:p>
        </w:tc>
        <w:tc>
          <w:tcPr>
            <w:tcW w:w="1418" w:type="dxa"/>
            <w:vMerge w:val="continue"/>
            <w:shd w:val="clear" w:color="FFFFFF" w:fill="F1F1F1" w:themeFill="background1" w:themeFillShade="F2"/>
            <w:vAlign w:val="center"/>
          </w:tcPr>
          <w:p>
            <w:pPr>
              <w:jc w:val="center"/>
              <w:rPr>
                <w:rFonts w:ascii="宋体" w:hAnsi="宋体" w:cs="宋体"/>
                <w:color w:val="000000"/>
                <w:sz w:val="24"/>
              </w:rPr>
            </w:pPr>
          </w:p>
        </w:tc>
        <w:tc>
          <w:tcPr>
            <w:tcW w:w="1671" w:type="dxa"/>
            <w:vMerge w:val="continue"/>
            <w:shd w:val="clear" w:color="FFFFFF" w:fill="F1F1F1" w:themeFill="background1" w:themeFillShade="F2"/>
            <w:vAlign w:val="center"/>
          </w:tcPr>
          <w:p>
            <w:pPr>
              <w:jc w:val="center"/>
              <w:rPr>
                <w:rFonts w:ascii="宋体" w:hAnsi="宋体" w:cs="宋体"/>
                <w:color w:val="000000"/>
                <w:sz w:val="24"/>
              </w:rPr>
            </w:pPr>
          </w:p>
        </w:tc>
        <w:tc>
          <w:tcPr>
            <w:tcW w:w="1560" w:type="dxa"/>
            <w:vMerge w:val="continue"/>
            <w:shd w:val="clear" w:color="FFFFFF" w:fill="F1F1F1" w:themeFill="background1" w:themeFillShade="F2"/>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418" w:type="dxa"/>
            <w:noWrap/>
            <w:vAlign w:val="center"/>
          </w:tcPr>
          <w:p>
            <w:pPr>
              <w:widowControl/>
              <w:jc w:val="center"/>
              <w:rPr>
                <w:rFonts w:ascii="Arial" w:hAnsi="Arial" w:cs="Arial"/>
                <w:kern w:val="0"/>
                <w:sz w:val="20"/>
                <w:szCs w:val="20"/>
              </w:rPr>
            </w:pPr>
            <w:r>
              <w:rPr>
                <w:rFonts w:ascii="Arial" w:hAnsi="Arial" w:cs="Arial"/>
                <w:sz w:val="20"/>
                <w:szCs w:val="20"/>
              </w:rPr>
              <w:t>30.274041</w:t>
            </w:r>
          </w:p>
        </w:tc>
        <w:tc>
          <w:tcPr>
            <w:tcW w:w="1589" w:type="dxa"/>
            <w:noWrap/>
            <w:vAlign w:val="center"/>
          </w:tcPr>
          <w:p>
            <w:pPr>
              <w:jc w:val="center"/>
              <w:rPr>
                <w:rFonts w:ascii="Arial" w:hAnsi="Arial" w:cs="Arial"/>
                <w:sz w:val="20"/>
                <w:szCs w:val="20"/>
              </w:rPr>
            </w:pPr>
            <w:r>
              <w:rPr>
                <w:rFonts w:ascii="Arial" w:hAnsi="Arial" w:cs="Arial"/>
                <w:sz w:val="20"/>
                <w:szCs w:val="20"/>
              </w:rPr>
              <w:t>11139.18226</w:t>
            </w:r>
          </w:p>
        </w:tc>
        <w:tc>
          <w:tcPr>
            <w:tcW w:w="1559" w:type="dxa"/>
            <w:noWrap/>
            <w:vAlign w:val="center"/>
          </w:tcPr>
          <w:p>
            <w:pPr>
              <w:jc w:val="center"/>
              <w:rPr>
                <w:rFonts w:ascii="Arial" w:hAnsi="Arial" w:cs="Arial"/>
                <w:sz w:val="20"/>
                <w:szCs w:val="20"/>
              </w:rPr>
            </w:pPr>
            <w:r>
              <w:rPr>
                <w:rFonts w:ascii="Arial" w:hAnsi="Arial" w:cs="Arial"/>
                <w:sz w:val="20"/>
                <w:szCs w:val="20"/>
              </w:rPr>
              <w:t>10664.56008</w:t>
            </w:r>
          </w:p>
        </w:tc>
        <w:tc>
          <w:tcPr>
            <w:tcW w:w="1418" w:type="dxa"/>
            <w:noWrap/>
            <w:vAlign w:val="center"/>
          </w:tcPr>
          <w:p>
            <w:pPr>
              <w:jc w:val="center"/>
              <w:rPr>
                <w:rFonts w:ascii="Arial" w:hAnsi="Arial" w:cs="Arial"/>
                <w:sz w:val="20"/>
                <w:szCs w:val="20"/>
              </w:rPr>
            </w:pPr>
            <w:r>
              <w:rPr>
                <w:rFonts w:ascii="Arial" w:hAnsi="Arial" w:cs="Arial"/>
                <w:sz w:val="20"/>
                <w:szCs w:val="20"/>
              </w:rPr>
              <w:t>504.896221</w:t>
            </w:r>
          </w:p>
        </w:tc>
        <w:tc>
          <w:tcPr>
            <w:tcW w:w="1671" w:type="dxa"/>
            <w:noWrap/>
            <w:vAlign w:val="center"/>
          </w:tcPr>
          <w:p>
            <w:pPr>
              <w:jc w:val="center"/>
              <w:rPr>
                <w:rFonts w:ascii="Arial" w:hAnsi="Arial" w:cs="Arial"/>
                <w:sz w:val="20"/>
                <w:szCs w:val="20"/>
              </w:rPr>
            </w:pPr>
            <w:r>
              <w:rPr>
                <w:rFonts w:ascii="Arial" w:hAnsi="Arial" w:cs="Arial"/>
                <w:sz w:val="20"/>
                <w:szCs w:val="20"/>
              </w:rPr>
              <w:t>144.573</w:t>
            </w:r>
          </w:p>
        </w:tc>
        <w:tc>
          <w:tcPr>
            <w:tcW w:w="1560" w:type="dxa"/>
            <w:noWrap/>
            <w:vAlign w:val="center"/>
          </w:tcPr>
          <w:p>
            <w:pPr>
              <w:jc w:val="center"/>
              <w:rPr>
                <w:rFonts w:ascii="Arial" w:hAnsi="Arial" w:cs="Arial"/>
                <w:sz w:val="20"/>
                <w:szCs w:val="20"/>
              </w:rPr>
            </w:pPr>
            <w:r>
              <w:rPr>
                <w:rFonts w:ascii="Arial" w:hAnsi="Arial" w:cs="Arial"/>
                <w:sz w:val="20"/>
                <w:szCs w:val="20"/>
              </w:rPr>
              <w:t>360.3233</w:t>
            </w:r>
          </w:p>
        </w:tc>
      </w:tr>
    </w:tbl>
    <w:p>
      <w:pPr>
        <w:pStyle w:val="3"/>
        <w:ind w:firstLine="643"/>
      </w:pPr>
      <w:bookmarkStart w:id="12" w:name="_Toc135004727"/>
      <w:r>
        <w:rPr>
          <w:rFonts w:hint="eastAsia"/>
        </w:rPr>
        <w:t>（五）部门</w:t>
      </w:r>
      <w:r>
        <w:t>预决算差异率</w:t>
      </w:r>
      <w:bookmarkEnd w:id="12"/>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年市委统战部预算收入总额</w:t>
      </w:r>
      <w:r>
        <w:rPr>
          <w:rFonts w:ascii="仿宋_GB2312" w:hAnsi="宋体" w:eastAsia="仿宋_GB2312" w:cs="宋体"/>
          <w:color w:val="000000"/>
          <w:kern w:val="0"/>
          <w:sz w:val="32"/>
          <w:szCs w:val="32"/>
        </w:rPr>
        <w:t>11139.18</w:t>
      </w:r>
      <w:r>
        <w:rPr>
          <w:rFonts w:hint="eastAsia" w:ascii="仿宋_GB2312" w:hAnsi="宋体" w:eastAsia="仿宋_GB2312" w:cs="宋体"/>
          <w:color w:val="000000"/>
          <w:kern w:val="0"/>
          <w:sz w:val="32"/>
          <w:szCs w:val="32"/>
        </w:rPr>
        <w:t>万元，决算收入总额11</w:t>
      </w:r>
      <w:r>
        <w:rPr>
          <w:rFonts w:ascii="仿宋_GB2312" w:hAnsi="宋体" w:eastAsia="仿宋_GB2312" w:cs="宋体"/>
          <w:color w:val="000000"/>
          <w:kern w:val="0"/>
          <w:sz w:val="32"/>
          <w:szCs w:val="32"/>
        </w:rPr>
        <w:t>139.18</w:t>
      </w:r>
      <w:r>
        <w:rPr>
          <w:rFonts w:hint="eastAsia" w:ascii="仿宋_GB2312" w:hAnsi="宋体" w:eastAsia="仿宋_GB2312" w:cs="宋体"/>
          <w:color w:val="000000"/>
          <w:kern w:val="0"/>
          <w:sz w:val="32"/>
          <w:szCs w:val="32"/>
        </w:rPr>
        <w:t>万元，收入预决算差额</w:t>
      </w:r>
      <w:r>
        <w:rPr>
          <w:rFonts w:ascii="仿宋_GB2312" w:hAnsi="宋体" w:eastAsia="仿宋_GB2312" w:cs="宋体"/>
          <w:color w:val="000000"/>
          <w:kern w:val="0"/>
          <w:sz w:val="32"/>
          <w:szCs w:val="32"/>
        </w:rPr>
        <w:t>0</w:t>
      </w:r>
      <w:r>
        <w:rPr>
          <w:rFonts w:hint="eastAsia" w:ascii="仿宋_GB2312" w:hAnsi="宋体" w:eastAsia="仿宋_GB2312" w:cs="宋体"/>
          <w:color w:val="000000"/>
          <w:kern w:val="0"/>
          <w:sz w:val="32"/>
          <w:szCs w:val="32"/>
        </w:rPr>
        <w:t>万元，无差异。</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年市委统战部预算支出总额</w:t>
      </w:r>
      <w:r>
        <w:rPr>
          <w:rFonts w:ascii="仿宋_GB2312" w:hAnsi="宋体" w:eastAsia="仿宋_GB2312" w:cs="宋体"/>
          <w:color w:val="000000"/>
          <w:kern w:val="0"/>
          <w:sz w:val="32"/>
          <w:szCs w:val="32"/>
        </w:rPr>
        <w:t>11169.46</w:t>
      </w:r>
      <w:r>
        <w:rPr>
          <w:rFonts w:hint="eastAsia" w:ascii="仿宋_GB2312" w:hAnsi="宋体" w:eastAsia="仿宋_GB2312" w:cs="宋体"/>
          <w:color w:val="000000"/>
          <w:kern w:val="0"/>
          <w:sz w:val="32"/>
          <w:szCs w:val="32"/>
        </w:rPr>
        <w:t>万元，决算支出总额10</w:t>
      </w:r>
      <w:r>
        <w:rPr>
          <w:rFonts w:ascii="仿宋_GB2312" w:hAnsi="宋体" w:eastAsia="仿宋_GB2312" w:cs="宋体"/>
          <w:color w:val="000000"/>
          <w:kern w:val="0"/>
          <w:sz w:val="32"/>
          <w:szCs w:val="32"/>
        </w:rPr>
        <w:t>664.56</w:t>
      </w:r>
      <w:r>
        <w:rPr>
          <w:rFonts w:hint="eastAsia" w:ascii="仿宋_GB2312" w:hAnsi="宋体" w:eastAsia="仿宋_GB2312" w:cs="宋体"/>
          <w:color w:val="000000"/>
          <w:kern w:val="0"/>
          <w:sz w:val="32"/>
          <w:szCs w:val="32"/>
        </w:rPr>
        <w:t>万元，决算总额比预算减少</w:t>
      </w:r>
      <w:r>
        <w:rPr>
          <w:rFonts w:ascii="仿宋_GB2312" w:hAnsi="宋体" w:eastAsia="仿宋_GB2312" w:cs="宋体"/>
          <w:color w:val="000000"/>
          <w:kern w:val="0"/>
          <w:sz w:val="32"/>
          <w:szCs w:val="32"/>
        </w:rPr>
        <w:t>504.90</w:t>
      </w:r>
      <w:r>
        <w:rPr>
          <w:rFonts w:hint="eastAsia" w:ascii="仿宋_GB2312" w:hAnsi="宋体" w:eastAsia="仿宋_GB2312" w:cs="宋体"/>
          <w:color w:val="000000"/>
          <w:kern w:val="0"/>
          <w:sz w:val="32"/>
          <w:szCs w:val="32"/>
        </w:rPr>
        <w:t>万元，差异率</w:t>
      </w:r>
      <w:r>
        <w:rPr>
          <w:rFonts w:ascii="仿宋_GB2312" w:hAnsi="宋体" w:eastAsia="仿宋_GB2312" w:cs="宋体"/>
          <w:color w:val="000000"/>
          <w:kern w:val="0"/>
          <w:sz w:val="32"/>
          <w:szCs w:val="32"/>
        </w:rPr>
        <w:t>4.52%</w:t>
      </w:r>
      <w:r>
        <w:rPr>
          <w:rFonts w:hint="eastAsia" w:ascii="仿宋_GB2312" w:hAnsi="宋体" w:eastAsia="仿宋_GB2312" w:cs="宋体"/>
          <w:color w:val="000000"/>
          <w:kern w:val="0"/>
          <w:sz w:val="32"/>
          <w:szCs w:val="32"/>
        </w:rPr>
        <w:t>。</w:t>
      </w:r>
    </w:p>
    <w:p>
      <w:pPr>
        <w:pStyle w:val="2"/>
        <w:spacing w:before="217" w:after="217"/>
      </w:pPr>
      <w:bookmarkStart w:id="13" w:name="_Toc135004728"/>
      <w:r>
        <w:rPr>
          <w:rFonts w:hint="eastAsia"/>
        </w:rPr>
        <w:t>五、总体</w:t>
      </w:r>
      <w:r>
        <w:t>评价结论</w:t>
      </w:r>
      <w:bookmarkEnd w:id="13"/>
    </w:p>
    <w:p>
      <w:pPr>
        <w:pStyle w:val="3"/>
        <w:ind w:firstLine="643"/>
      </w:pPr>
      <w:bookmarkStart w:id="14" w:name="_Toc135004729"/>
      <w:r>
        <w:rPr>
          <w:rFonts w:hint="eastAsia"/>
        </w:rPr>
        <w:t>（一）评价</w:t>
      </w:r>
      <w:r>
        <w:t>得分</w:t>
      </w:r>
      <w:r>
        <w:rPr>
          <w:rFonts w:hint="eastAsia"/>
        </w:rPr>
        <w:t>情况</w:t>
      </w:r>
      <w:bookmarkEnd w:id="14"/>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经评价，市委统战部部门整体支出绩效评价综合得分</w:t>
      </w:r>
      <w:r>
        <w:rPr>
          <w:rFonts w:ascii="仿宋_GB2312" w:hAnsi="宋体" w:eastAsia="仿宋_GB2312" w:cs="宋体"/>
          <w:color w:val="000000"/>
          <w:kern w:val="0"/>
          <w:sz w:val="32"/>
          <w:szCs w:val="32"/>
        </w:rPr>
        <w:t>90.30</w:t>
      </w:r>
      <w:r>
        <w:rPr>
          <w:rFonts w:hint="eastAsia" w:ascii="仿宋_GB2312" w:hAnsi="宋体" w:eastAsia="仿宋_GB2312" w:cs="宋体"/>
          <w:color w:val="000000"/>
          <w:kern w:val="0"/>
          <w:sz w:val="32"/>
          <w:szCs w:val="32"/>
        </w:rPr>
        <w:t>分，绩效评定结论为“优秀”。</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具体各指标得分情况如表</w:t>
      </w: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所示。</w:t>
      </w:r>
    </w:p>
    <w:p>
      <w:pPr>
        <w:adjustRightInd w:val="0"/>
        <w:snapToGrid w:val="0"/>
        <w:spacing w:line="360" w:lineRule="auto"/>
        <w:ind w:firstLine="640" w:firstLineChars="200"/>
        <w:rPr>
          <w:rFonts w:ascii="仿宋_GB2312" w:hAnsi="宋体" w:eastAsia="仿宋_GB2312" w:cs="宋体"/>
          <w:color w:val="000000"/>
          <w:kern w:val="0"/>
          <w:sz w:val="32"/>
          <w:szCs w:val="32"/>
        </w:rPr>
      </w:pPr>
    </w:p>
    <w:p>
      <w:pPr>
        <w:adjustRightInd w:val="0"/>
        <w:snapToGrid w:val="0"/>
        <w:spacing w:line="360" w:lineRule="auto"/>
        <w:ind w:firstLine="640" w:firstLineChars="200"/>
        <w:rPr>
          <w:rFonts w:ascii="仿宋_GB2312" w:hAnsi="宋体" w:eastAsia="仿宋_GB2312" w:cs="宋体"/>
          <w:color w:val="000000"/>
          <w:kern w:val="0"/>
          <w:sz w:val="32"/>
          <w:szCs w:val="32"/>
        </w:rPr>
      </w:pPr>
    </w:p>
    <w:p>
      <w:pPr>
        <w:adjustRightInd w:val="0"/>
        <w:snapToGrid w:val="0"/>
        <w:spacing w:line="360" w:lineRule="auto"/>
        <w:ind w:firstLine="640" w:firstLineChars="200"/>
        <w:rPr>
          <w:rFonts w:hint="eastAsia" w:ascii="仿宋_GB2312" w:hAnsi="宋体" w:eastAsia="仿宋_GB2312" w:cs="宋体"/>
          <w:color w:val="000000"/>
          <w:kern w:val="0"/>
          <w:sz w:val="32"/>
          <w:szCs w:val="32"/>
        </w:rPr>
      </w:pPr>
    </w:p>
    <w:p>
      <w:pPr>
        <w:adjustRightInd w:val="0"/>
        <w:snapToGrid w:val="0"/>
        <w:spacing w:line="560" w:lineRule="exact"/>
        <w:jc w:val="center"/>
        <w:rPr>
          <w:rFonts w:ascii="仿宋_GB2312" w:hAnsi="仿宋" w:eastAsia="仿宋_GB2312" w:cs="仿宋"/>
          <w:sz w:val="24"/>
        </w:rPr>
      </w:pPr>
      <w:r>
        <w:rPr>
          <w:rFonts w:hint="eastAsia" w:ascii="仿宋_GB2312" w:hAnsi="仿宋" w:eastAsia="仿宋_GB2312" w:cs="仿宋"/>
          <w:sz w:val="24"/>
        </w:rPr>
        <w:t>表</w:t>
      </w:r>
      <w:r>
        <w:rPr>
          <w:rFonts w:ascii="仿宋_GB2312" w:hAnsi="仿宋" w:eastAsia="仿宋_GB2312" w:cs="仿宋"/>
          <w:sz w:val="24"/>
        </w:rPr>
        <w:t>2</w:t>
      </w:r>
      <w:r>
        <w:rPr>
          <w:rFonts w:hint="eastAsia" w:ascii="仿宋_GB2312" w:hAnsi="仿宋" w:eastAsia="仿宋_GB2312" w:cs="仿宋"/>
          <w:sz w:val="24"/>
        </w:rPr>
        <w:t>绩效评价各项指标得分情况表</w:t>
      </w:r>
    </w:p>
    <w:tbl>
      <w:tblPr>
        <w:tblStyle w:val="20"/>
        <w:tblW w:w="5000" w:type="pct"/>
        <w:tblInd w:w="0" w:type="dxa"/>
        <w:tblLayout w:type="autofit"/>
        <w:tblCellMar>
          <w:top w:w="0" w:type="dxa"/>
          <w:left w:w="108" w:type="dxa"/>
          <w:bottom w:w="0" w:type="dxa"/>
          <w:right w:w="108" w:type="dxa"/>
        </w:tblCellMar>
      </w:tblPr>
      <w:tblGrid>
        <w:gridCol w:w="1697"/>
        <w:gridCol w:w="2664"/>
        <w:gridCol w:w="1984"/>
        <w:gridCol w:w="2177"/>
      </w:tblGrid>
      <w:tr>
        <w:tblPrEx>
          <w:tblCellMar>
            <w:top w:w="0" w:type="dxa"/>
            <w:left w:w="108" w:type="dxa"/>
            <w:bottom w:w="0" w:type="dxa"/>
            <w:right w:w="108" w:type="dxa"/>
          </w:tblCellMar>
        </w:tblPrEx>
        <w:trPr>
          <w:trHeight w:val="397" w:hRule="exact"/>
        </w:trPr>
        <w:tc>
          <w:tcPr>
            <w:tcW w:w="996" w:type="pct"/>
            <w:tcBorders>
              <w:top w:val="single" w:color="auto" w:sz="4" w:space="0"/>
              <w:left w:val="single" w:color="auto" w:sz="4" w:space="0"/>
              <w:bottom w:val="single" w:color="auto" w:sz="4" w:space="0"/>
              <w:right w:val="single" w:color="auto" w:sz="4" w:space="0"/>
            </w:tcBorders>
            <w:shd w:val="clear" w:color="000000" w:fill="F2F2F2"/>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序号</w:t>
            </w:r>
          </w:p>
        </w:tc>
        <w:tc>
          <w:tcPr>
            <w:tcW w:w="1563" w:type="pct"/>
            <w:tcBorders>
              <w:top w:val="single" w:color="auto" w:sz="4" w:space="0"/>
              <w:left w:val="nil"/>
              <w:bottom w:val="single" w:color="auto" w:sz="4" w:space="0"/>
              <w:right w:val="single" w:color="auto" w:sz="4" w:space="0"/>
            </w:tcBorders>
            <w:shd w:val="clear" w:color="000000" w:fill="F2F2F2"/>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一级指标</w:t>
            </w:r>
          </w:p>
        </w:tc>
        <w:tc>
          <w:tcPr>
            <w:tcW w:w="1164" w:type="pct"/>
            <w:tcBorders>
              <w:top w:val="single" w:color="auto" w:sz="4" w:space="0"/>
              <w:left w:val="nil"/>
              <w:bottom w:val="single" w:color="auto" w:sz="4" w:space="0"/>
              <w:right w:val="single" w:color="auto" w:sz="4" w:space="0"/>
            </w:tcBorders>
            <w:shd w:val="clear" w:color="000000" w:fill="F2F2F2"/>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分值</w:t>
            </w:r>
          </w:p>
        </w:tc>
        <w:tc>
          <w:tcPr>
            <w:tcW w:w="1277" w:type="pct"/>
            <w:tcBorders>
              <w:top w:val="single" w:color="auto" w:sz="4" w:space="0"/>
              <w:left w:val="nil"/>
              <w:bottom w:val="single" w:color="auto" w:sz="4" w:space="0"/>
              <w:right w:val="single" w:color="auto" w:sz="4" w:space="0"/>
            </w:tcBorders>
            <w:shd w:val="clear" w:color="000000" w:fill="F2F2F2"/>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得分</w:t>
            </w:r>
          </w:p>
        </w:tc>
      </w:tr>
      <w:tr>
        <w:tblPrEx>
          <w:tblCellMar>
            <w:top w:w="0" w:type="dxa"/>
            <w:left w:w="108" w:type="dxa"/>
            <w:bottom w:w="0" w:type="dxa"/>
            <w:right w:w="108" w:type="dxa"/>
          </w:tblCellMar>
        </w:tblPrEx>
        <w:trPr>
          <w:trHeight w:val="397" w:hRule="exact"/>
        </w:trPr>
        <w:tc>
          <w:tcPr>
            <w:tcW w:w="9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一</w:t>
            </w:r>
          </w:p>
        </w:tc>
        <w:tc>
          <w:tcPr>
            <w:tcW w:w="156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预算执行情况</w:t>
            </w:r>
          </w:p>
        </w:tc>
        <w:tc>
          <w:tcPr>
            <w:tcW w:w="1164"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1277"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19</w:t>
            </w:r>
          </w:p>
        </w:tc>
      </w:tr>
      <w:tr>
        <w:tblPrEx>
          <w:tblCellMar>
            <w:top w:w="0" w:type="dxa"/>
            <w:left w:w="108" w:type="dxa"/>
            <w:bottom w:w="0" w:type="dxa"/>
            <w:right w:w="108" w:type="dxa"/>
          </w:tblCellMar>
        </w:tblPrEx>
        <w:trPr>
          <w:trHeight w:val="397" w:hRule="exact"/>
        </w:trPr>
        <w:tc>
          <w:tcPr>
            <w:tcW w:w="9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二</w:t>
            </w:r>
          </w:p>
        </w:tc>
        <w:tc>
          <w:tcPr>
            <w:tcW w:w="156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整体绩效目标实现情况</w:t>
            </w:r>
          </w:p>
        </w:tc>
        <w:tc>
          <w:tcPr>
            <w:tcW w:w="1164"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60</w:t>
            </w:r>
          </w:p>
        </w:tc>
        <w:tc>
          <w:tcPr>
            <w:tcW w:w="1277"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53</w:t>
            </w:r>
          </w:p>
        </w:tc>
      </w:tr>
      <w:tr>
        <w:tblPrEx>
          <w:tblCellMar>
            <w:top w:w="0" w:type="dxa"/>
            <w:left w:w="108" w:type="dxa"/>
            <w:bottom w:w="0" w:type="dxa"/>
            <w:right w:w="108" w:type="dxa"/>
          </w:tblCellMar>
        </w:tblPrEx>
        <w:trPr>
          <w:trHeight w:val="397" w:hRule="exact"/>
        </w:trPr>
        <w:tc>
          <w:tcPr>
            <w:tcW w:w="99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三</w:t>
            </w:r>
          </w:p>
        </w:tc>
        <w:tc>
          <w:tcPr>
            <w:tcW w:w="1563" w:type="pct"/>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预算管理情况</w:t>
            </w:r>
          </w:p>
        </w:tc>
        <w:tc>
          <w:tcPr>
            <w:tcW w:w="1164"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20</w:t>
            </w:r>
          </w:p>
        </w:tc>
        <w:tc>
          <w:tcPr>
            <w:tcW w:w="1277"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18.3</w:t>
            </w:r>
          </w:p>
        </w:tc>
      </w:tr>
      <w:tr>
        <w:tblPrEx>
          <w:tblCellMar>
            <w:top w:w="0" w:type="dxa"/>
            <w:left w:w="108" w:type="dxa"/>
            <w:bottom w:w="0" w:type="dxa"/>
            <w:right w:w="108" w:type="dxa"/>
          </w:tblCellMar>
        </w:tblPrEx>
        <w:trPr>
          <w:trHeight w:val="397" w:hRule="exact"/>
        </w:trPr>
        <w:tc>
          <w:tcPr>
            <w:tcW w:w="2559" w:type="pct"/>
            <w:gridSpan w:val="2"/>
            <w:tcBorders>
              <w:top w:val="single" w:color="auto" w:sz="4" w:space="0"/>
              <w:left w:val="single" w:color="auto" w:sz="4" w:space="0"/>
              <w:bottom w:val="single" w:color="auto" w:sz="4" w:space="0"/>
              <w:right w:val="single" w:color="000000" w:sz="4" w:space="0"/>
            </w:tcBorders>
            <w:shd w:val="clear" w:color="000000" w:fill="F2F2F2"/>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总计</w:t>
            </w:r>
          </w:p>
        </w:tc>
        <w:tc>
          <w:tcPr>
            <w:tcW w:w="1164" w:type="pct"/>
            <w:tcBorders>
              <w:top w:val="nil"/>
              <w:left w:val="nil"/>
              <w:bottom w:val="single" w:color="auto" w:sz="4" w:space="0"/>
              <w:right w:val="single" w:color="auto" w:sz="4" w:space="0"/>
            </w:tcBorders>
            <w:shd w:val="clear" w:color="000000" w:fill="F2F2F2"/>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100</w:t>
            </w:r>
          </w:p>
        </w:tc>
        <w:tc>
          <w:tcPr>
            <w:tcW w:w="1277" w:type="pct"/>
            <w:tcBorders>
              <w:top w:val="nil"/>
              <w:left w:val="nil"/>
              <w:bottom w:val="single" w:color="auto" w:sz="4" w:space="0"/>
              <w:right w:val="single" w:color="auto" w:sz="4" w:space="0"/>
            </w:tcBorders>
            <w:shd w:val="clear" w:color="000000" w:fill="F2F2F2"/>
            <w:noWrap/>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90.3</w:t>
            </w:r>
          </w:p>
        </w:tc>
      </w:tr>
    </w:tbl>
    <w:p>
      <w:pPr>
        <w:pStyle w:val="3"/>
        <w:ind w:firstLine="643"/>
      </w:pPr>
      <w:bookmarkStart w:id="15" w:name="_Toc135004730"/>
      <w:r>
        <w:rPr>
          <w:rFonts w:hint="eastAsia"/>
        </w:rPr>
        <w:t>（二）存在的问题及原因分析</w:t>
      </w:r>
      <w:bookmarkEnd w:id="15"/>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存在的问题</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（1）绩效目标的设定不够具体、细致，可量化程度不足。部分项目的指标设定过于宽泛，不具有可衡量性，部分指标设定不够全面。</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（2）部门绩效产出、效果以及项目的过程资料不充分。部分项目未及时、完整的收集项目过程的文件资料，导致项目决策、管理以及绩效信息未能完整、充分体现。部门整体绩效材料缺乏，支撑不足。</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原因分析</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（1）预算申报较早，具体的重点工作和核心内容难以明确。此外，项目单位对绩效目标填报方式了解不够深刻，指标设定的方式和要求掌握不够。</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（2）个别项目具体承担部门绩效意识不够强，对于绩效管理的过程控制方式和资料归集规范掌握不够。</w:t>
      </w:r>
    </w:p>
    <w:p>
      <w:pPr>
        <w:pStyle w:val="2"/>
        <w:spacing w:before="217" w:after="217"/>
      </w:pPr>
      <w:bookmarkStart w:id="16" w:name="_Toc135004731"/>
      <w:r>
        <w:rPr>
          <w:rFonts w:hint="eastAsia"/>
        </w:rPr>
        <w:t>六、措施建议</w:t>
      </w:r>
      <w:bookmarkEnd w:id="16"/>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提前统筹，科学设定绩效目标和绩效指标</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建议结合单位中长期规划，提前筹划下一年度任务，及早明确拟开展重点工作，科学设定项目绩效目标；加强绩效管理相关文件学习，提高绩效指标的细化、量化水平。</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2.</w:t>
      </w:r>
      <w:r>
        <w:rPr>
          <w:rFonts w:hint="eastAsia" w:ascii="仿宋_GB2312" w:hAnsi="宋体" w:eastAsia="仿宋_GB2312" w:cs="宋体"/>
          <w:color w:val="000000"/>
          <w:kern w:val="0"/>
          <w:sz w:val="32"/>
          <w:szCs w:val="32"/>
        </w:rPr>
        <w:t>强化绩效理念，深入推进评价工作</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进一步强化各部门绩效管理理念，把财政绩效评价作为一项重要工作来抓，健全完善绩效相关制度办法，切实加强组织领导，深入推进绩效管理工作，提升部门整体绩效管理水平。</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重视服务满意度测评工作，加强满意度资料收集</w:t>
      </w:r>
    </w:p>
    <w:p>
      <w:pPr>
        <w:adjustRightInd w:val="0"/>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合理确定项目服务对象范围和数量，加强反映绩效成果的资料收集与展现工作，探索以问卷调查、访谈、新媒体渠道等形式对服务的有关部门、人员开展满意度调查。</w:t>
      </w:r>
    </w:p>
    <w:p>
      <w:pPr>
        <w:pStyle w:val="2"/>
        <w:spacing w:before="217" w:after="217"/>
        <w:rPr>
          <w:szCs w:val="32"/>
        </w:rPr>
      </w:pPr>
      <w:bookmarkStart w:id="17" w:name="_Toc135004732"/>
      <w:bookmarkStart w:id="18" w:name="_Toc103006301"/>
      <w:r>
        <w:rPr>
          <w:rFonts w:hint="eastAsia"/>
          <w:szCs w:val="32"/>
        </w:rPr>
        <w:t>七、附件</w:t>
      </w:r>
      <w:bookmarkEnd w:id="17"/>
      <w:bookmarkEnd w:id="18"/>
    </w:p>
    <w:p>
      <w:pPr>
        <w:spacing w:line="600" w:lineRule="exact"/>
        <w:ind w:firstLine="641"/>
        <w:rPr>
          <w:rFonts w:ascii="仿宋_GB2312" w:hAnsi="仿宋_GB2312" w:eastAsia="仿宋_GB2312" w:cs="仿宋_GB2312"/>
          <w:sz w:val="32"/>
          <w:szCs w:val="32"/>
        </w:rPr>
        <w:sectPr>
          <w:pgSz w:w="11906" w:h="16838"/>
          <w:pgMar w:top="1440" w:right="1800" w:bottom="1440" w:left="1800" w:header="851" w:footer="964" w:gutter="0"/>
          <w:pgNumType w:start="1"/>
          <w:cols w:space="425" w:num="1"/>
          <w:docGrid w:type="lines" w:linePitch="435" w:charSpace="0"/>
        </w:sectPr>
      </w:pPr>
      <w:r>
        <w:rPr>
          <w:rFonts w:hint="eastAsia" w:ascii="仿宋_GB2312" w:hAnsi="仿宋_GB2312" w:eastAsia="仿宋_GB2312" w:cs="仿宋_GB2312"/>
          <w:sz w:val="32"/>
          <w:szCs w:val="32"/>
        </w:rPr>
        <w:t>2022年部门整体绩效评价指标体系评分表</w:t>
      </w:r>
    </w:p>
    <w:p>
      <w:pPr>
        <w:spacing w:line="560" w:lineRule="exact"/>
        <w:jc w:val="left"/>
        <w:rPr>
          <w:rFonts w:ascii="方正黑体_GBK" w:hAnsi="方正黑体_GBK" w:eastAsia="方正黑体_GBK" w:cs="方正黑体_GBK"/>
          <w:sz w:val="32"/>
        </w:rPr>
      </w:pPr>
      <w:r>
        <w:rPr>
          <w:rFonts w:hint="eastAsia" w:ascii="方正黑体_GBK" w:hAnsi="方正黑体_GBK" w:eastAsia="方正黑体_GBK" w:cs="方正黑体_GBK"/>
          <w:sz w:val="32"/>
        </w:rPr>
        <w:t>附件</w:t>
      </w:r>
    </w:p>
    <w:tbl>
      <w:tblPr>
        <w:tblStyle w:val="20"/>
        <w:tblW w:w="5000" w:type="pct"/>
        <w:tblInd w:w="0" w:type="dxa"/>
        <w:tblLayout w:type="fixed"/>
        <w:tblCellMar>
          <w:top w:w="0" w:type="dxa"/>
          <w:left w:w="108" w:type="dxa"/>
          <w:bottom w:w="0" w:type="dxa"/>
          <w:right w:w="108" w:type="dxa"/>
        </w:tblCellMar>
      </w:tblPr>
      <w:tblGrid>
        <w:gridCol w:w="1073"/>
        <w:gridCol w:w="1083"/>
        <w:gridCol w:w="1429"/>
        <w:gridCol w:w="1253"/>
        <w:gridCol w:w="819"/>
        <w:gridCol w:w="797"/>
        <w:gridCol w:w="797"/>
        <w:gridCol w:w="3507"/>
        <w:gridCol w:w="3416"/>
      </w:tblGrid>
      <w:tr>
        <w:tblPrEx>
          <w:tblCellMar>
            <w:top w:w="0" w:type="dxa"/>
            <w:left w:w="108" w:type="dxa"/>
            <w:bottom w:w="0" w:type="dxa"/>
            <w:right w:w="108" w:type="dxa"/>
          </w:tblCellMar>
        </w:tblPrEx>
        <w:trPr>
          <w:cantSplit/>
          <w:trHeight w:val="90" w:hRule="atLeast"/>
        </w:trPr>
        <w:tc>
          <w:tcPr>
            <w:tcW w:w="5000" w:type="pct"/>
            <w:gridSpan w:val="9"/>
            <w:tcBorders>
              <w:top w:val="nil"/>
              <w:left w:val="nil"/>
              <w:bottom w:val="single" w:color="auto" w:sz="4" w:space="0"/>
              <w:right w:val="nil"/>
            </w:tcBorders>
            <w:noWrap/>
            <w:vAlign w:val="bottom"/>
          </w:tcPr>
          <w:p>
            <w:pPr>
              <w:widowControl/>
              <w:jc w:val="center"/>
              <w:rPr>
                <w:rFonts w:ascii="方正小标宋简体" w:hAnsi="黑体" w:eastAsia="方正小标宋简体" w:cs="宋体"/>
                <w:color w:val="000000"/>
                <w:kern w:val="0"/>
                <w:sz w:val="44"/>
                <w:szCs w:val="44"/>
                <w:highlight w:val="yellow"/>
              </w:rPr>
            </w:pPr>
            <w:r>
              <w:rPr>
                <w:rFonts w:hint="eastAsia" w:ascii="方正小标宋简体" w:hAnsi="黑体" w:eastAsia="方正小标宋简体" w:cs="宋体"/>
                <w:color w:val="000000"/>
                <w:kern w:val="0"/>
                <w:sz w:val="44"/>
                <w:szCs w:val="44"/>
              </w:rPr>
              <w:t>2022年部门整体绩效评价指标体系评分表</w:t>
            </w:r>
          </w:p>
        </w:tc>
      </w:tr>
      <w:tr>
        <w:tblPrEx>
          <w:tblCellMar>
            <w:top w:w="0" w:type="dxa"/>
            <w:left w:w="108" w:type="dxa"/>
            <w:bottom w:w="0" w:type="dxa"/>
            <w:right w:w="108" w:type="dxa"/>
          </w:tblCellMar>
        </w:tblPrEx>
        <w:trPr>
          <w:cantSplit/>
          <w:trHeight w:val="470" w:hRule="atLeast"/>
        </w:trPr>
        <w:tc>
          <w:tcPr>
            <w:tcW w:w="5000" w:type="pct"/>
            <w:gridSpan w:val="9"/>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一、</w:t>
            </w:r>
            <w:r>
              <w:rPr>
                <w:rFonts w:hint="eastAsia" w:ascii="宋体" w:hAnsi="宋体" w:cs="宋体"/>
                <w:color w:val="000000"/>
                <w:kern w:val="0"/>
                <w:sz w:val="20"/>
                <w:szCs w:val="20"/>
              </w:rPr>
              <w:t>当年预算执行情况（20分）</w:t>
            </w:r>
          </w:p>
        </w:tc>
      </w:tr>
      <w:tr>
        <w:tblPrEx>
          <w:tblCellMar>
            <w:top w:w="0" w:type="dxa"/>
            <w:left w:w="108" w:type="dxa"/>
            <w:bottom w:w="0" w:type="dxa"/>
            <w:right w:w="108" w:type="dxa"/>
          </w:tblCellMar>
        </w:tblPrEx>
        <w:trPr>
          <w:cantSplit/>
          <w:trHeight w:val="660" w:hRule="atLeast"/>
        </w:trPr>
        <w:tc>
          <w:tcPr>
            <w:tcW w:w="37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50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预算数（万元）</w:t>
            </w:r>
          </w:p>
        </w:tc>
        <w:tc>
          <w:tcPr>
            <w:tcW w:w="4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执行数（万元）</w:t>
            </w:r>
          </w:p>
        </w:tc>
        <w:tc>
          <w:tcPr>
            <w:tcW w:w="28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28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8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指标解释</w:t>
            </w:r>
          </w:p>
        </w:tc>
        <w:tc>
          <w:tcPr>
            <w:tcW w:w="120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r>
      <w:tr>
        <w:tblPrEx>
          <w:tblCellMar>
            <w:top w:w="0" w:type="dxa"/>
            <w:left w:w="108" w:type="dxa"/>
            <w:bottom w:w="0" w:type="dxa"/>
            <w:right w:w="108" w:type="dxa"/>
          </w:tblCellMar>
        </w:tblPrEx>
        <w:trPr>
          <w:cantSplit/>
          <w:trHeight w:val="881" w:hRule="atLeast"/>
        </w:trPr>
        <w:tc>
          <w:tcPr>
            <w:tcW w:w="379" w:type="pct"/>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当年预算执行情况（20）</w:t>
            </w:r>
          </w:p>
        </w:tc>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资金总体</w:t>
            </w:r>
          </w:p>
        </w:tc>
        <w:tc>
          <w:tcPr>
            <w:tcW w:w="50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Theme="minorEastAsia" w:hAnsiTheme="minorEastAsia" w:eastAsiaTheme="minorEastAsia"/>
                <w:sz w:val="18"/>
                <w:szCs w:val="18"/>
              </w:rPr>
              <w:t>11169</w:t>
            </w:r>
            <w:r>
              <w:rPr>
                <w:rFonts w:asciiTheme="minorEastAsia" w:hAnsiTheme="minorEastAsia" w:eastAsiaTheme="minorEastAsia"/>
                <w:sz w:val="18"/>
                <w:szCs w:val="18"/>
              </w:rPr>
              <w:t>.</w:t>
            </w:r>
            <w:r>
              <w:rPr>
                <w:rFonts w:hint="eastAsia" w:asciiTheme="minorEastAsia" w:hAnsiTheme="minorEastAsia" w:eastAsiaTheme="minorEastAsia"/>
                <w:sz w:val="18"/>
                <w:szCs w:val="18"/>
              </w:rPr>
              <w:t>456302</w:t>
            </w:r>
            <w:r>
              <w:rPr>
                <w:rFonts w:hint="eastAsia" w:ascii="宋体" w:hAnsi="宋体" w:cs="宋体"/>
                <w:color w:val="000000"/>
                <w:kern w:val="0"/>
                <w:sz w:val="18"/>
                <w:szCs w:val="18"/>
              </w:rPr>
              <w:t>　</w:t>
            </w:r>
          </w:p>
        </w:tc>
        <w:tc>
          <w:tcPr>
            <w:tcW w:w="44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Theme="minorEastAsia" w:hAnsiTheme="minorEastAsia" w:eastAsiaTheme="minorEastAsia"/>
                <w:sz w:val="18"/>
                <w:szCs w:val="18"/>
              </w:rPr>
              <w:t>10664</w:t>
            </w:r>
            <w:r>
              <w:rPr>
                <w:rFonts w:asciiTheme="minorEastAsia" w:hAnsiTheme="minorEastAsia" w:eastAsiaTheme="minorEastAsia"/>
                <w:sz w:val="18"/>
                <w:szCs w:val="18"/>
              </w:rPr>
              <w:t>.</w:t>
            </w:r>
            <w:r>
              <w:rPr>
                <w:rFonts w:hint="eastAsia" w:asciiTheme="minorEastAsia" w:hAnsiTheme="minorEastAsia" w:eastAsiaTheme="minorEastAsia"/>
                <w:sz w:val="18"/>
                <w:szCs w:val="18"/>
              </w:rPr>
              <w:t>560081</w:t>
            </w:r>
            <w:r>
              <w:rPr>
                <w:rFonts w:hint="eastAsia" w:ascii="宋体" w:hAnsi="宋体" w:cs="宋体"/>
                <w:color w:val="000000"/>
                <w:kern w:val="0"/>
                <w:sz w:val="18"/>
                <w:szCs w:val="18"/>
              </w:rPr>
              <w:t>　</w:t>
            </w:r>
          </w:p>
        </w:tc>
        <w:tc>
          <w:tcPr>
            <w:tcW w:w="28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Theme="minorEastAsia" w:hAnsiTheme="minorEastAsia" w:eastAsiaTheme="minorEastAsia"/>
                <w:sz w:val="18"/>
                <w:szCs w:val="18"/>
              </w:rPr>
              <w:t>95.48%</w:t>
            </w:r>
            <w:r>
              <w:rPr>
                <w:rFonts w:hint="eastAsia" w:ascii="宋体" w:hAnsi="宋体" w:cs="宋体"/>
                <w:color w:val="000000"/>
                <w:kern w:val="0"/>
                <w:sz w:val="18"/>
                <w:szCs w:val="18"/>
              </w:rPr>
              <w:t>　</w:t>
            </w:r>
          </w:p>
        </w:tc>
        <w:tc>
          <w:tcPr>
            <w:tcW w:w="281"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81"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9</w:t>
            </w:r>
            <w:r>
              <w:rPr>
                <w:rFonts w:hint="eastAsia" w:ascii="宋体" w:hAnsi="宋体" w:cs="宋体"/>
                <w:color w:val="000000"/>
                <w:kern w:val="0"/>
                <w:sz w:val="20"/>
                <w:szCs w:val="20"/>
              </w:rPr>
              <w:t>　</w:t>
            </w:r>
          </w:p>
        </w:tc>
        <w:tc>
          <w:tcPr>
            <w:tcW w:w="1237"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部门全年执行数与全年预算数的比率。资金总体=基本支出+项目支出+其他</w:t>
            </w:r>
          </w:p>
        </w:tc>
        <w:tc>
          <w:tcPr>
            <w:tcW w:w="1203" w:type="pct"/>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①得分一档最高不能超过该指标分值上限（20分）。</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②该指标若为正向指标，则得分计算方法应用全年实际值（B）/年度指标值（A）*该指标分值；若定量指标为反向指标，则得分计算方法应用年度指标值（A）/全年实际值（B）*该指标分值。若年初指标值设定偏低，则得分计算方法应用（全年实际值（B）—年度指标值（A））/年度指标值（A）*100%。若计算结果在200%-300%（含200%）区间，则按照该指标分值的10%扣分；计算结果在300%-500%（含300%）区间，则按照该指标分值的20%扣分；计算结果高于500%（含500%），则按照该指标分值的30%扣分。</w:t>
            </w:r>
          </w:p>
        </w:tc>
      </w:tr>
      <w:tr>
        <w:tblPrEx>
          <w:tblCellMar>
            <w:top w:w="0" w:type="dxa"/>
            <w:left w:w="108" w:type="dxa"/>
            <w:bottom w:w="0" w:type="dxa"/>
            <w:right w:w="108" w:type="dxa"/>
          </w:tblCellMar>
        </w:tblPrEx>
        <w:trPr>
          <w:cantSplit/>
          <w:trHeight w:val="1230"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基本支出</w:t>
            </w:r>
          </w:p>
        </w:tc>
        <w:tc>
          <w:tcPr>
            <w:tcW w:w="50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8066.8677</w:t>
            </w:r>
          </w:p>
        </w:tc>
        <w:tc>
          <w:tcPr>
            <w:tcW w:w="44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Theme="minorEastAsia" w:hAnsiTheme="minorEastAsia" w:eastAsiaTheme="minorEastAsia"/>
                <w:sz w:val="18"/>
                <w:szCs w:val="18"/>
              </w:rPr>
              <w:t>7922</w:t>
            </w:r>
            <w:r>
              <w:rPr>
                <w:rFonts w:asciiTheme="minorEastAsia" w:hAnsiTheme="minorEastAsia" w:eastAsiaTheme="minorEastAsia"/>
                <w:sz w:val="18"/>
                <w:szCs w:val="18"/>
              </w:rPr>
              <w:t>.</w:t>
            </w:r>
            <w:r>
              <w:rPr>
                <w:rFonts w:hint="eastAsia" w:asciiTheme="minorEastAsia" w:hAnsiTheme="minorEastAsia" w:eastAsiaTheme="minorEastAsia"/>
                <w:sz w:val="18"/>
                <w:szCs w:val="18"/>
              </w:rPr>
              <w:t>294740</w:t>
            </w:r>
            <w:r>
              <w:rPr>
                <w:rFonts w:hint="eastAsia" w:ascii="宋体" w:hAnsi="宋体" w:cs="宋体"/>
                <w:color w:val="000000"/>
                <w:kern w:val="0"/>
                <w:sz w:val="18"/>
                <w:szCs w:val="18"/>
              </w:rPr>
              <w:t>　</w:t>
            </w:r>
          </w:p>
        </w:tc>
        <w:tc>
          <w:tcPr>
            <w:tcW w:w="288"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1" w:type="pct"/>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12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0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1338"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项目支出</w:t>
            </w:r>
          </w:p>
        </w:tc>
        <w:tc>
          <w:tcPr>
            <w:tcW w:w="50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sz w:val="18"/>
                <w:szCs w:val="18"/>
              </w:rPr>
            </w:pPr>
            <w:r>
              <w:rPr>
                <w:rFonts w:asciiTheme="minorEastAsia" w:hAnsiTheme="minorEastAsia" w:eastAsiaTheme="minorEastAsia"/>
                <w:sz w:val="18"/>
                <w:szCs w:val="18"/>
              </w:rPr>
              <w:t>3102.588602</w:t>
            </w:r>
            <w:r>
              <w:rPr>
                <w:rFonts w:hint="eastAsia" w:asciiTheme="minorEastAsia" w:hAnsiTheme="minorEastAsia" w:eastAsiaTheme="minorEastAsia"/>
                <w:sz w:val="18"/>
                <w:szCs w:val="18"/>
              </w:rPr>
              <w:t>　</w:t>
            </w:r>
          </w:p>
        </w:tc>
        <w:tc>
          <w:tcPr>
            <w:tcW w:w="44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Theme="minorEastAsia" w:hAnsiTheme="minorEastAsia" w:eastAsiaTheme="minorEastAsia"/>
                <w:sz w:val="18"/>
                <w:szCs w:val="18"/>
              </w:rPr>
              <w:t>2742</w:t>
            </w:r>
            <w:r>
              <w:rPr>
                <w:rFonts w:asciiTheme="minorEastAsia" w:hAnsiTheme="minorEastAsia" w:eastAsiaTheme="minorEastAsia"/>
                <w:sz w:val="18"/>
                <w:szCs w:val="18"/>
              </w:rPr>
              <w:t>.</w:t>
            </w:r>
            <w:r>
              <w:rPr>
                <w:rFonts w:hint="eastAsia" w:asciiTheme="minorEastAsia" w:hAnsiTheme="minorEastAsia" w:eastAsiaTheme="minorEastAsia"/>
                <w:sz w:val="18"/>
                <w:szCs w:val="18"/>
              </w:rPr>
              <w:t>265341</w:t>
            </w:r>
            <w:r>
              <w:rPr>
                <w:rFonts w:hint="eastAsia" w:ascii="宋体" w:hAnsi="宋体" w:cs="宋体"/>
                <w:color w:val="000000"/>
                <w:kern w:val="0"/>
                <w:sz w:val="18"/>
                <w:szCs w:val="18"/>
              </w:rPr>
              <w:t>　</w:t>
            </w: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1" w:type="pct"/>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12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0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2136"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5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0</w:t>
            </w:r>
          </w:p>
        </w:tc>
        <w:tc>
          <w:tcPr>
            <w:tcW w:w="44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88"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1" w:type="pct"/>
            <w:vMerge w:val="continue"/>
            <w:tcBorders>
              <w:top w:val="single" w:color="auto" w:sz="4" w:space="0"/>
              <w:left w:val="nil"/>
              <w:bottom w:val="single" w:color="auto" w:sz="4" w:space="0"/>
              <w:right w:val="nil"/>
            </w:tcBorders>
            <w:vAlign w:val="center"/>
          </w:tcPr>
          <w:p>
            <w:pPr>
              <w:widowControl/>
              <w:jc w:val="left"/>
              <w:rPr>
                <w:rFonts w:ascii="宋体" w:hAnsi="宋体" w:cs="宋体"/>
                <w:color w:val="000000"/>
                <w:kern w:val="0"/>
                <w:sz w:val="20"/>
                <w:szCs w:val="20"/>
              </w:rPr>
            </w:pPr>
          </w:p>
        </w:tc>
        <w:tc>
          <w:tcPr>
            <w:tcW w:w="1237"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0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479" w:hRule="atLeast"/>
        </w:trPr>
        <w:tc>
          <w:tcPr>
            <w:tcW w:w="5000" w:type="pct"/>
            <w:gridSpan w:val="9"/>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二</w:t>
            </w:r>
            <w:r>
              <w:rPr>
                <w:rFonts w:ascii="宋体" w:hAnsi="宋体" w:cs="宋体"/>
                <w:color w:val="000000"/>
                <w:kern w:val="0"/>
                <w:sz w:val="18"/>
                <w:szCs w:val="18"/>
              </w:rPr>
              <w:t>、</w:t>
            </w:r>
            <w:r>
              <w:rPr>
                <w:rFonts w:hint="eastAsia" w:ascii="宋体" w:hAnsi="宋体" w:cs="宋体"/>
                <w:color w:val="000000"/>
                <w:kern w:val="0"/>
                <w:sz w:val="20"/>
                <w:szCs w:val="20"/>
              </w:rPr>
              <w:t>整体绩效目标实现情况（60分）</w:t>
            </w:r>
          </w:p>
        </w:tc>
      </w:tr>
      <w:tr>
        <w:tblPrEx>
          <w:tblCellMar>
            <w:top w:w="0" w:type="dxa"/>
            <w:left w:w="108" w:type="dxa"/>
            <w:bottom w:w="0" w:type="dxa"/>
            <w:right w:w="108" w:type="dxa"/>
          </w:tblCellMar>
        </w:tblPrEx>
        <w:trPr>
          <w:cantSplit/>
          <w:trHeight w:val="499" w:hRule="atLeast"/>
        </w:trPr>
        <w:tc>
          <w:tcPr>
            <w:tcW w:w="37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8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5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r>
              <w:rPr>
                <w:rFonts w:hint="eastAsia" w:ascii="宋体" w:hAnsi="宋体" w:cs="宋体"/>
                <w:color w:val="000000"/>
                <w:kern w:val="0"/>
                <w:sz w:val="20"/>
                <w:szCs w:val="20"/>
              </w:rPr>
              <w:t>　</w:t>
            </w:r>
          </w:p>
        </w:tc>
        <w:tc>
          <w:tcPr>
            <w:tcW w:w="44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指标值</w:t>
            </w:r>
          </w:p>
        </w:tc>
        <w:tc>
          <w:tcPr>
            <w:tcW w:w="2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完成值</w:t>
            </w:r>
          </w:p>
        </w:tc>
        <w:tc>
          <w:tcPr>
            <w:tcW w:w="28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81" w:type="pct"/>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203"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cantSplit/>
          <w:trHeight w:val="1196" w:hRule="atLeast"/>
        </w:trPr>
        <w:tc>
          <w:tcPr>
            <w:tcW w:w="37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整体绩效目标实现情况（60）</w:t>
            </w:r>
          </w:p>
        </w:tc>
        <w:tc>
          <w:tcPr>
            <w:tcW w:w="382" w:type="pct"/>
            <w:vMerge w:val="restart"/>
            <w:tcBorders>
              <w:top w:val="single" w:color="auto" w:sz="4" w:space="0"/>
              <w:left w:val="nil"/>
              <w:right w:val="single" w:color="auto" w:sz="4" w:space="0"/>
            </w:tcBorders>
            <w:vAlign w:val="center"/>
          </w:tcPr>
          <w:p>
            <w:pPr>
              <w:widowControl/>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产出（30）</w:t>
            </w:r>
          </w:p>
        </w:tc>
        <w:tc>
          <w:tcPr>
            <w:tcW w:w="5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产出数量</w:t>
            </w:r>
          </w:p>
        </w:tc>
        <w:tc>
          <w:tcPr>
            <w:tcW w:w="442" w:type="pct"/>
            <w:tcBorders>
              <w:top w:val="single" w:color="auto" w:sz="4" w:space="0"/>
              <w:left w:val="nil"/>
              <w:bottom w:val="single" w:color="auto" w:sz="4" w:space="0"/>
              <w:right w:val="single" w:color="auto" w:sz="4" w:space="0"/>
            </w:tcBorders>
            <w:vAlign w:val="center"/>
          </w:tcPr>
          <w:p>
            <w:pPr>
              <w:adjustRightInd w:val="0"/>
              <w:snapToGrid w:val="0"/>
              <w:jc w:val="left"/>
              <w:rPr>
                <w:rFonts w:ascii="宋体" w:hAnsi="宋体" w:cs="宋体"/>
                <w:color w:val="000000"/>
                <w:kern w:val="0"/>
                <w:sz w:val="20"/>
                <w:szCs w:val="20"/>
              </w:rPr>
            </w:pPr>
            <w:r>
              <w:rPr>
                <w:rFonts w:hint="eastAsia" w:asciiTheme="minorEastAsia" w:hAnsiTheme="minorEastAsia" w:eastAsiaTheme="minorEastAsia"/>
                <w:sz w:val="20"/>
                <w:szCs w:val="20"/>
              </w:rPr>
              <w:t>完成各项年度工作任务。</w:t>
            </w:r>
          </w:p>
        </w:tc>
        <w:tc>
          <w:tcPr>
            <w:tcW w:w="288" w:type="pct"/>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完成　</w:t>
            </w:r>
          </w:p>
        </w:tc>
        <w:tc>
          <w:tcPr>
            <w:tcW w:w="281" w:type="pct"/>
            <w:vMerge w:val="restar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81" w:type="pct"/>
            <w:tcBorders>
              <w:top w:val="single" w:color="auto" w:sz="4" w:space="0"/>
              <w:left w:val="nil"/>
              <w:bottom w:val="single" w:color="auto" w:sz="4" w:space="0"/>
              <w:right w:val="nil"/>
            </w:tcBorders>
            <w:vAlign w:val="center"/>
          </w:tcPr>
          <w:p>
            <w:pPr>
              <w:jc w:val="center"/>
              <w:rPr>
                <w:rFonts w:ascii="宋体" w:hAnsi="宋体" w:cs="宋体"/>
                <w:color w:val="000000"/>
                <w:kern w:val="0"/>
                <w:sz w:val="20"/>
                <w:szCs w:val="20"/>
              </w:rPr>
            </w:pPr>
            <w:r>
              <w:rPr>
                <w:rFonts w:ascii="宋体" w:hAnsi="宋体" w:cs="宋体"/>
                <w:color w:val="000000"/>
                <w:kern w:val="0"/>
                <w:sz w:val="20"/>
                <w:szCs w:val="20"/>
              </w:rPr>
              <w:t>6</w:t>
            </w:r>
          </w:p>
        </w:tc>
        <w:tc>
          <w:tcPr>
            <w:tcW w:w="1237"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产出数量</w:t>
            </w:r>
            <w:r>
              <w:rPr>
                <w:rFonts w:hint="eastAsia" w:ascii="宋体" w:hAnsi="宋体" w:cs="宋体"/>
                <w:color w:val="000000"/>
                <w:kern w:val="0"/>
                <w:sz w:val="18"/>
                <w:szCs w:val="18"/>
              </w:rPr>
              <w:t>：计划完成率=（实际完成工作数/计划工作数）×100%。实际完成工作数：一定时期（年度或规划期）内部门（单位）实际完成工作任务的数量。计划工作数：部门（单位）整体绩效目标确定的一定时期（年度或规划期）内预计完成工作任务的数量。</w:t>
            </w:r>
            <w:r>
              <w:rPr>
                <w:rFonts w:hint="eastAsia" w:ascii="宋体" w:hAnsi="宋体" w:cs="宋体"/>
                <w:b/>
                <w:bCs/>
                <w:color w:val="000000"/>
                <w:kern w:val="0"/>
                <w:sz w:val="18"/>
                <w:szCs w:val="18"/>
              </w:rPr>
              <w:t>产出质量</w:t>
            </w:r>
            <w:r>
              <w:rPr>
                <w:rFonts w:hint="eastAsia" w:ascii="宋体" w:hAnsi="宋体" w:cs="宋体"/>
                <w:color w:val="000000"/>
                <w:kern w:val="0"/>
                <w:sz w:val="18"/>
                <w:szCs w:val="18"/>
              </w:rPr>
              <w:t>：质量达标率=质量达标工作数/实际完成工作数×100%。质量达标工作数：一定时期（年度或规划期）内部门（单位）实际完成工作数中达到部门绩效目标要求（绩效标准值）的工作任务数量。</w:t>
            </w:r>
            <w:r>
              <w:rPr>
                <w:rFonts w:hint="eastAsia" w:ascii="宋体" w:hAnsi="宋体" w:cs="宋体"/>
                <w:b/>
                <w:bCs/>
                <w:color w:val="000000"/>
                <w:kern w:val="0"/>
                <w:sz w:val="18"/>
                <w:szCs w:val="18"/>
              </w:rPr>
              <w:t>产出进度：</w:t>
            </w:r>
            <w:r>
              <w:rPr>
                <w:rFonts w:hint="eastAsia" w:ascii="宋体" w:hAnsi="宋体" w:cs="宋体"/>
                <w:color w:val="000000"/>
                <w:kern w:val="0"/>
                <w:sz w:val="18"/>
                <w:szCs w:val="18"/>
              </w:rPr>
              <w:t>按时完成率=（按时完成工作数/实际完成工作数）×100%。按时完成工作数：部门（单位）按照整体绩效目标确定的时限实际完成的工作任务数量。</w:t>
            </w:r>
            <w:r>
              <w:rPr>
                <w:rFonts w:hint="eastAsia" w:ascii="宋体" w:hAnsi="宋体" w:cs="宋体"/>
                <w:b/>
                <w:bCs/>
                <w:color w:val="000000"/>
                <w:kern w:val="0"/>
                <w:sz w:val="18"/>
                <w:szCs w:val="18"/>
              </w:rPr>
              <w:t>产出成本</w:t>
            </w:r>
            <w:r>
              <w:rPr>
                <w:rFonts w:hint="eastAsia" w:ascii="宋体" w:hAnsi="宋体" w:cs="宋体"/>
                <w:color w:val="000000"/>
                <w:kern w:val="0"/>
                <w:sz w:val="18"/>
                <w:szCs w:val="18"/>
              </w:rPr>
              <w:t>：单位产出相对于上一年度的节约额；②单位产出相对于市场同类产出的节约额；③部门公用经费的控制情况。</w:t>
            </w:r>
          </w:p>
        </w:tc>
        <w:tc>
          <w:tcPr>
            <w:tcW w:w="1203" w:type="pct"/>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部门根据本单位情况自行确定并选择产出指标，合理确定各项指标权重。可量化的指标按照比率*单项指标分值即为该指标得分。如果不能定量评价，则以定性的方式进行自评。</w:t>
            </w:r>
          </w:p>
        </w:tc>
      </w:tr>
      <w:tr>
        <w:tblPrEx>
          <w:tblCellMar>
            <w:top w:w="0" w:type="dxa"/>
            <w:left w:w="108" w:type="dxa"/>
            <w:bottom w:w="0" w:type="dxa"/>
            <w:right w:w="108" w:type="dxa"/>
          </w:tblCellMar>
        </w:tblPrEx>
        <w:trPr>
          <w:cantSplit/>
          <w:trHeight w:val="1130"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产出质量</w:t>
            </w:r>
          </w:p>
        </w:tc>
        <w:tc>
          <w:tcPr>
            <w:tcW w:w="442" w:type="pct"/>
            <w:tcBorders>
              <w:top w:val="single" w:color="auto" w:sz="4" w:space="0"/>
              <w:left w:val="nil"/>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r>
              <w:rPr>
                <w:rFonts w:hint="eastAsia" w:asciiTheme="minorEastAsia" w:hAnsiTheme="minorEastAsia" w:eastAsiaTheme="minorEastAsia"/>
                <w:sz w:val="20"/>
                <w:szCs w:val="20"/>
              </w:rPr>
              <w:t>根据各项任务要求，保质保量完成</w:t>
            </w:r>
          </w:p>
        </w:tc>
        <w:tc>
          <w:tcPr>
            <w:tcW w:w="288" w:type="pct"/>
            <w:tcBorders>
              <w:top w:val="single" w:color="auto" w:sz="4" w:space="0"/>
              <w:left w:val="nil"/>
              <w:bottom w:val="single" w:color="auto" w:sz="4" w:space="0"/>
              <w:right w:val="single" w:color="auto" w:sz="4" w:space="0"/>
            </w:tcBorders>
            <w:vAlign w:val="center"/>
          </w:tcPr>
          <w:p>
            <w:pPr>
              <w:jc w:val="center"/>
            </w:pPr>
            <w:r>
              <w:rPr>
                <w:rFonts w:hint="eastAsia" w:ascii="宋体" w:hAnsi="宋体" w:cs="宋体"/>
                <w:color w:val="000000"/>
                <w:kern w:val="0"/>
                <w:sz w:val="20"/>
                <w:szCs w:val="20"/>
              </w:rPr>
              <w:t>完成</w:t>
            </w:r>
          </w:p>
        </w:tc>
        <w:tc>
          <w:tcPr>
            <w:tcW w:w="281" w:type="pct"/>
            <w:vMerge w:val="continue"/>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1" w:type="pct"/>
            <w:tcBorders>
              <w:top w:val="single" w:color="auto" w:sz="4" w:space="0"/>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w:t>
            </w:r>
          </w:p>
        </w:tc>
        <w:tc>
          <w:tcPr>
            <w:tcW w:w="12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0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1258"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0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产出进度</w:t>
            </w:r>
          </w:p>
        </w:tc>
        <w:tc>
          <w:tcPr>
            <w:tcW w:w="442" w:type="pct"/>
            <w:tcBorders>
              <w:top w:val="nil"/>
              <w:left w:val="nil"/>
              <w:bottom w:val="single" w:color="auto" w:sz="4" w:space="0"/>
              <w:right w:val="single" w:color="auto" w:sz="4" w:space="0"/>
            </w:tcBorders>
            <w:vAlign w:val="center"/>
          </w:tcPr>
          <w:p>
            <w:pPr>
              <w:pStyle w:val="17"/>
              <w:widowControl/>
              <w:shd w:val="clear" w:color="auto" w:fill="FFFFFF"/>
              <w:adjustRightInd w:val="0"/>
              <w:snapToGrid w:val="0"/>
              <w:spacing w:beforeAutospacing="0" w:afterAutospacing="0" w:line="240" w:lineRule="auto"/>
              <w:ind w:firstLine="0" w:firstLineChars="0"/>
              <w:rPr>
                <w:rFonts w:ascii="宋体" w:hAnsi="宋体" w:cs="宋体"/>
                <w:color w:val="000000"/>
                <w:sz w:val="20"/>
                <w:szCs w:val="20"/>
              </w:rPr>
            </w:pPr>
            <w:r>
              <w:rPr>
                <w:rFonts w:hint="eastAsia" w:asciiTheme="minorEastAsia" w:hAnsiTheme="minorEastAsia" w:eastAsiaTheme="minorEastAsia"/>
                <w:kern w:val="2"/>
                <w:sz w:val="20"/>
                <w:szCs w:val="20"/>
              </w:rPr>
              <w:t>按照预算批复，完成全年收支指标及工作任务。根据市财政进度要求执行。</w:t>
            </w:r>
            <w:r>
              <w:rPr>
                <w:rFonts w:hint="eastAsia" w:ascii="宋体" w:hAnsi="宋体" w:cs="宋体"/>
                <w:color w:val="000000"/>
                <w:sz w:val="20"/>
                <w:szCs w:val="20"/>
              </w:rPr>
              <w:t>　</w:t>
            </w:r>
          </w:p>
        </w:tc>
        <w:tc>
          <w:tcPr>
            <w:tcW w:w="288" w:type="pct"/>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0"/>
                <w:szCs w:val="20"/>
              </w:rPr>
              <w:t>完成</w:t>
            </w:r>
          </w:p>
        </w:tc>
        <w:tc>
          <w:tcPr>
            <w:tcW w:w="281" w:type="pct"/>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1"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w:t>
            </w:r>
            <w:r>
              <w:rPr>
                <w:rFonts w:hint="eastAsia" w:ascii="宋体" w:hAnsi="宋体" w:cs="宋体"/>
                <w:color w:val="000000"/>
                <w:kern w:val="0"/>
                <w:sz w:val="20"/>
                <w:szCs w:val="20"/>
              </w:rPr>
              <w:t>　</w:t>
            </w:r>
          </w:p>
        </w:tc>
        <w:tc>
          <w:tcPr>
            <w:tcW w:w="12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0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975"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0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产出成本</w:t>
            </w:r>
          </w:p>
        </w:tc>
        <w:tc>
          <w:tcPr>
            <w:tcW w:w="442" w:type="pct"/>
            <w:tcBorders>
              <w:top w:val="nil"/>
              <w:left w:val="nil"/>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r>
              <w:rPr>
                <w:rFonts w:hint="eastAsia" w:asciiTheme="minorEastAsia" w:hAnsiTheme="minorEastAsia" w:eastAsiaTheme="minorEastAsia"/>
                <w:sz w:val="20"/>
                <w:szCs w:val="20"/>
              </w:rPr>
              <w:t>严格按照要求编制预算，严格执行预算，少花钱多办事，严格控制实施成本。</w:t>
            </w:r>
            <w:r>
              <w:rPr>
                <w:rFonts w:hint="eastAsia" w:ascii="宋体" w:hAnsi="宋体" w:cs="宋体"/>
                <w:color w:val="000000"/>
                <w:kern w:val="0"/>
                <w:sz w:val="20"/>
                <w:szCs w:val="20"/>
              </w:rPr>
              <w:t>　</w:t>
            </w:r>
          </w:p>
        </w:tc>
        <w:tc>
          <w:tcPr>
            <w:tcW w:w="288" w:type="pct"/>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0"/>
                <w:szCs w:val="20"/>
              </w:rPr>
              <w:t>完成</w:t>
            </w:r>
          </w:p>
        </w:tc>
        <w:tc>
          <w:tcPr>
            <w:tcW w:w="281" w:type="pct"/>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1"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7</w:t>
            </w:r>
            <w:r>
              <w:rPr>
                <w:rFonts w:hint="eastAsia" w:ascii="宋体" w:hAnsi="宋体" w:cs="宋体"/>
                <w:color w:val="000000"/>
                <w:kern w:val="0"/>
                <w:sz w:val="20"/>
                <w:szCs w:val="20"/>
              </w:rPr>
              <w:t>　</w:t>
            </w:r>
          </w:p>
        </w:tc>
        <w:tc>
          <w:tcPr>
            <w:tcW w:w="12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0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675"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效果（30）</w:t>
            </w:r>
          </w:p>
        </w:tc>
        <w:tc>
          <w:tcPr>
            <w:tcW w:w="50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442" w:type="pct"/>
            <w:tcBorders>
              <w:top w:val="nil"/>
              <w:left w:val="nil"/>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r>
              <w:rPr>
                <w:rFonts w:hint="eastAsia" w:asciiTheme="minorEastAsia" w:hAnsiTheme="minorEastAsia" w:eastAsiaTheme="minorEastAsia"/>
                <w:sz w:val="20"/>
                <w:szCs w:val="20"/>
              </w:rPr>
              <w:t>服务首都全面深化改革，为实现中华民族伟大复兴中国梦的首都篇章做贡献。</w:t>
            </w:r>
            <w:r>
              <w:rPr>
                <w:rFonts w:hint="eastAsia" w:ascii="宋体" w:hAnsi="宋体" w:cs="宋体"/>
                <w:color w:val="000000"/>
                <w:kern w:val="0"/>
                <w:sz w:val="20"/>
                <w:szCs w:val="20"/>
              </w:rPr>
              <w:t>　</w:t>
            </w:r>
          </w:p>
        </w:tc>
        <w:tc>
          <w:tcPr>
            <w:tcW w:w="288" w:type="pct"/>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0"/>
                <w:szCs w:val="20"/>
              </w:rPr>
              <w:t>完成</w:t>
            </w:r>
          </w:p>
        </w:tc>
        <w:tc>
          <w:tcPr>
            <w:tcW w:w="281"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81"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0</w:t>
            </w:r>
            <w:r>
              <w:rPr>
                <w:rFonts w:hint="eastAsia" w:ascii="宋体" w:hAnsi="宋体" w:cs="宋体"/>
                <w:color w:val="000000"/>
                <w:kern w:val="0"/>
                <w:sz w:val="20"/>
                <w:szCs w:val="20"/>
              </w:rPr>
              <w:t>　</w:t>
            </w:r>
          </w:p>
        </w:tc>
        <w:tc>
          <w:tcPr>
            <w:tcW w:w="1237" w:type="pct"/>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经济效益</w:t>
            </w:r>
            <w:r>
              <w:rPr>
                <w:rFonts w:hint="eastAsia" w:ascii="宋体" w:hAnsi="宋体" w:cs="宋体"/>
                <w:color w:val="000000"/>
                <w:kern w:val="0"/>
                <w:sz w:val="18"/>
                <w:szCs w:val="18"/>
              </w:rPr>
              <w:t>：部门（单位）履行职责对经济发展所带来的直接或间接影响。</w:t>
            </w:r>
            <w:r>
              <w:rPr>
                <w:rFonts w:hint="eastAsia" w:ascii="宋体" w:hAnsi="宋体" w:cs="宋体"/>
                <w:b/>
                <w:bCs/>
                <w:color w:val="000000"/>
                <w:kern w:val="0"/>
                <w:sz w:val="18"/>
                <w:szCs w:val="18"/>
              </w:rPr>
              <w:t>社会效益</w:t>
            </w:r>
            <w:r>
              <w:rPr>
                <w:rFonts w:hint="eastAsia" w:ascii="宋体" w:hAnsi="宋体" w:cs="宋体"/>
                <w:color w:val="000000"/>
                <w:kern w:val="0"/>
                <w:sz w:val="18"/>
                <w:szCs w:val="18"/>
              </w:rPr>
              <w:t>：部门（单位）履行职责对社会发展所带来的直接或间接影响。</w:t>
            </w:r>
            <w:r>
              <w:rPr>
                <w:rFonts w:hint="eastAsia" w:ascii="宋体" w:hAnsi="宋体" w:cs="宋体"/>
                <w:b/>
                <w:bCs/>
                <w:color w:val="000000"/>
                <w:kern w:val="0"/>
                <w:sz w:val="18"/>
                <w:szCs w:val="18"/>
              </w:rPr>
              <w:t>环境效益</w:t>
            </w:r>
            <w:r>
              <w:rPr>
                <w:rFonts w:hint="eastAsia" w:ascii="宋体" w:hAnsi="宋体" w:cs="宋体"/>
                <w:color w:val="000000"/>
                <w:kern w:val="0"/>
                <w:sz w:val="18"/>
                <w:szCs w:val="18"/>
              </w:rPr>
              <w:t>：部门（单位）履行职责对环境所带来的直接或间接影响。</w:t>
            </w:r>
            <w:r>
              <w:rPr>
                <w:rFonts w:hint="eastAsia" w:ascii="宋体" w:hAnsi="宋体" w:cs="宋体"/>
                <w:b/>
                <w:bCs/>
                <w:color w:val="000000"/>
                <w:kern w:val="0"/>
                <w:sz w:val="18"/>
                <w:szCs w:val="18"/>
              </w:rPr>
              <w:t>可持续性影响：</w:t>
            </w:r>
            <w:r>
              <w:rPr>
                <w:rFonts w:hint="eastAsia" w:ascii="宋体" w:hAnsi="宋体" w:cs="宋体"/>
                <w:color w:val="000000"/>
                <w:kern w:val="0"/>
                <w:sz w:val="18"/>
                <w:szCs w:val="18"/>
              </w:rPr>
              <w:t>部门绩效目标实现的长效机制建设情况，部门工作效率提升措施的创新。</w:t>
            </w:r>
            <w:r>
              <w:rPr>
                <w:rFonts w:hint="eastAsia" w:ascii="宋体" w:hAnsi="宋体" w:cs="宋体"/>
                <w:b/>
                <w:bCs/>
                <w:color w:val="000000"/>
                <w:kern w:val="0"/>
                <w:sz w:val="18"/>
                <w:szCs w:val="18"/>
              </w:rPr>
              <w:t>服务对象满意度</w:t>
            </w:r>
            <w:r>
              <w:rPr>
                <w:rFonts w:hint="eastAsia" w:ascii="宋体" w:hAnsi="宋体" w:cs="宋体"/>
                <w:color w:val="000000"/>
                <w:kern w:val="0"/>
                <w:sz w:val="18"/>
                <w:szCs w:val="18"/>
              </w:rPr>
              <w:t>：部门（单位）的服务对象对部门履职效果的满意程度。</w:t>
            </w:r>
          </w:p>
        </w:tc>
        <w:tc>
          <w:tcPr>
            <w:tcW w:w="1203" w:type="pct"/>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部门根据实际情况选择指标进行填写，并将其细化为相应的个性化指标。对于效益类指标可从受益对象瞄准度、受益广度和受益深度上进行设计分析。</w:t>
            </w:r>
          </w:p>
        </w:tc>
      </w:tr>
      <w:tr>
        <w:tblPrEx>
          <w:tblCellMar>
            <w:top w:w="0" w:type="dxa"/>
            <w:left w:w="108" w:type="dxa"/>
            <w:bottom w:w="0" w:type="dxa"/>
            <w:right w:w="108" w:type="dxa"/>
          </w:tblCellMar>
        </w:tblPrEx>
        <w:trPr>
          <w:cantSplit/>
          <w:trHeight w:val="630"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0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可持续性影响</w:t>
            </w:r>
          </w:p>
        </w:tc>
        <w:tc>
          <w:tcPr>
            <w:tcW w:w="442" w:type="pct"/>
            <w:tcBorders>
              <w:top w:val="nil"/>
              <w:left w:val="nil"/>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r>
              <w:rPr>
                <w:rFonts w:hint="eastAsia" w:asciiTheme="minorEastAsia" w:hAnsiTheme="minorEastAsia" w:eastAsiaTheme="minorEastAsia"/>
                <w:sz w:val="20"/>
                <w:szCs w:val="20"/>
              </w:rPr>
              <w:t>扩大统一战线的影响力，营造各方面重视支持统战工作的良好氛围。</w:t>
            </w:r>
            <w:r>
              <w:rPr>
                <w:rFonts w:hint="eastAsia" w:ascii="宋体" w:hAnsi="宋体" w:cs="宋体"/>
                <w:color w:val="000000"/>
                <w:kern w:val="0"/>
                <w:sz w:val="20"/>
                <w:szCs w:val="20"/>
              </w:rPr>
              <w:t>　</w:t>
            </w:r>
          </w:p>
        </w:tc>
        <w:tc>
          <w:tcPr>
            <w:tcW w:w="288" w:type="pct"/>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0"/>
                <w:szCs w:val="20"/>
              </w:rPr>
              <w:t>完成</w:t>
            </w:r>
          </w:p>
        </w:tc>
        <w:tc>
          <w:tcPr>
            <w:tcW w:w="28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1"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0</w:t>
            </w:r>
            <w:r>
              <w:rPr>
                <w:rFonts w:hint="eastAsia" w:ascii="宋体" w:hAnsi="宋体" w:cs="宋体"/>
                <w:color w:val="000000"/>
                <w:kern w:val="0"/>
                <w:sz w:val="20"/>
                <w:szCs w:val="20"/>
              </w:rPr>
              <w:t>　</w:t>
            </w:r>
          </w:p>
        </w:tc>
        <w:tc>
          <w:tcPr>
            <w:tcW w:w="12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0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690"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04" w:type="pct"/>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442" w:type="pct"/>
            <w:tcBorders>
              <w:top w:val="nil"/>
              <w:left w:val="nil"/>
              <w:bottom w:val="single" w:color="auto" w:sz="4" w:space="0"/>
              <w:right w:val="single" w:color="auto" w:sz="4" w:space="0"/>
            </w:tcBorders>
            <w:vAlign w:val="center"/>
          </w:tcPr>
          <w:p>
            <w:pPr>
              <w:widowControl/>
              <w:adjustRightInd w:val="0"/>
              <w:snapToGrid w:val="0"/>
              <w:jc w:val="left"/>
              <w:rPr>
                <w:rFonts w:ascii="宋体" w:hAnsi="宋体" w:cs="宋体"/>
                <w:color w:val="000000"/>
                <w:kern w:val="0"/>
                <w:sz w:val="20"/>
                <w:szCs w:val="20"/>
              </w:rPr>
            </w:pPr>
            <w:r>
              <w:rPr>
                <w:rFonts w:hint="eastAsia" w:ascii="宋体" w:hAnsi="宋体" w:cs="宋体"/>
                <w:color w:val="000000"/>
                <w:kern w:val="0"/>
                <w:sz w:val="20"/>
                <w:szCs w:val="20"/>
              </w:rPr>
              <w:t>　</w:t>
            </w:r>
            <w:r>
              <w:rPr>
                <w:rFonts w:hint="eastAsia" w:asciiTheme="minorEastAsia" w:hAnsiTheme="minorEastAsia" w:eastAsiaTheme="minorEastAsia"/>
                <w:sz w:val="20"/>
                <w:szCs w:val="20"/>
              </w:rPr>
              <w:t>推动统一战线建设与发展。</w:t>
            </w:r>
          </w:p>
        </w:tc>
        <w:tc>
          <w:tcPr>
            <w:tcW w:w="288" w:type="pct"/>
            <w:tcBorders>
              <w:top w:val="nil"/>
              <w:left w:val="nil"/>
              <w:bottom w:val="single" w:color="auto" w:sz="4" w:space="0"/>
              <w:right w:val="single" w:color="auto" w:sz="4" w:space="0"/>
            </w:tcBorders>
            <w:vAlign w:val="center"/>
          </w:tcPr>
          <w:p>
            <w:pPr>
              <w:jc w:val="center"/>
            </w:pPr>
            <w:r>
              <w:rPr>
                <w:rFonts w:hint="eastAsia" w:ascii="宋体" w:hAnsi="宋体" w:cs="宋体"/>
                <w:color w:val="000000"/>
                <w:kern w:val="0"/>
                <w:sz w:val="20"/>
                <w:szCs w:val="20"/>
              </w:rPr>
              <w:t>完成</w:t>
            </w:r>
          </w:p>
        </w:tc>
        <w:tc>
          <w:tcPr>
            <w:tcW w:w="281"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1"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　</w:t>
            </w:r>
          </w:p>
        </w:tc>
        <w:tc>
          <w:tcPr>
            <w:tcW w:w="1237"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03"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r>
      <w:tr>
        <w:tblPrEx>
          <w:tblCellMar>
            <w:top w:w="0" w:type="dxa"/>
            <w:left w:w="108" w:type="dxa"/>
            <w:bottom w:w="0" w:type="dxa"/>
            <w:right w:w="108" w:type="dxa"/>
          </w:tblCellMar>
        </w:tblPrEx>
        <w:trPr>
          <w:cantSplit/>
          <w:trHeight w:val="487"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三</w:t>
            </w:r>
            <w:r>
              <w:rPr>
                <w:rFonts w:ascii="宋体" w:hAnsi="宋体" w:cs="宋体"/>
                <w:color w:val="000000"/>
                <w:kern w:val="0"/>
                <w:sz w:val="18"/>
                <w:szCs w:val="18"/>
              </w:rPr>
              <w:t>、</w:t>
            </w:r>
            <w:r>
              <w:rPr>
                <w:rFonts w:hint="eastAsia" w:ascii="宋体" w:hAnsi="宋体" w:cs="宋体"/>
                <w:color w:val="000000"/>
                <w:kern w:val="0"/>
                <w:sz w:val="20"/>
                <w:szCs w:val="20"/>
              </w:rPr>
              <w:t>预算管理情况（20分）</w:t>
            </w:r>
          </w:p>
        </w:tc>
      </w:tr>
      <w:tr>
        <w:tblPrEx>
          <w:tblCellMar>
            <w:top w:w="0" w:type="dxa"/>
            <w:left w:w="108" w:type="dxa"/>
            <w:bottom w:w="0" w:type="dxa"/>
            <w:right w:w="108" w:type="dxa"/>
          </w:tblCellMar>
        </w:tblPrEx>
        <w:trPr>
          <w:cantSplit/>
          <w:trHeight w:val="702" w:hRule="atLeast"/>
        </w:trPr>
        <w:tc>
          <w:tcPr>
            <w:tcW w:w="37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一</w:t>
            </w:r>
            <w:r>
              <w:rPr>
                <w:rFonts w:ascii="宋体" w:hAnsi="宋体" w:cs="宋体"/>
                <w:color w:val="000000"/>
                <w:kern w:val="0"/>
                <w:sz w:val="20"/>
                <w:szCs w:val="20"/>
              </w:rPr>
              <w:t>级指标</w:t>
            </w:r>
          </w:p>
        </w:tc>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二</w:t>
            </w:r>
            <w:r>
              <w:rPr>
                <w:rFonts w:ascii="宋体" w:hAnsi="宋体" w:cs="宋体"/>
                <w:color w:val="000000"/>
                <w:kern w:val="0"/>
                <w:sz w:val="20"/>
                <w:szCs w:val="20"/>
              </w:rPr>
              <w:t>级指标</w:t>
            </w:r>
          </w:p>
        </w:tc>
        <w:tc>
          <w:tcPr>
            <w:tcW w:w="5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三</w:t>
            </w:r>
            <w:r>
              <w:rPr>
                <w:rFonts w:ascii="宋体" w:hAnsi="宋体" w:cs="宋体"/>
                <w:color w:val="000000"/>
                <w:kern w:val="0"/>
                <w:sz w:val="20"/>
                <w:szCs w:val="20"/>
              </w:rPr>
              <w:t>级指标</w:t>
            </w:r>
          </w:p>
        </w:tc>
        <w:tc>
          <w:tcPr>
            <w:tcW w:w="44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指标</w:t>
            </w:r>
            <w:r>
              <w:rPr>
                <w:rFonts w:ascii="宋体" w:hAnsi="宋体" w:cs="宋体"/>
                <w:color w:val="000000"/>
                <w:kern w:val="0"/>
                <w:sz w:val="20"/>
                <w:szCs w:val="20"/>
              </w:rPr>
              <w:t>值</w:t>
            </w:r>
          </w:p>
        </w:tc>
        <w:tc>
          <w:tcPr>
            <w:tcW w:w="2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完成</w:t>
            </w:r>
            <w:r>
              <w:rPr>
                <w:rFonts w:ascii="宋体" w:hAnsi="宋体" w:cs="宋体"/>
                <w:color w:val="000000"/>
                <w:kern w:val="0"/>
                <w:sz w:val="20"/>
                <w:szCs w:val="20"/>
              </w:rPr>
              <w:t>值</w:t>
            </w:r>
          </w:p>
        </w:tc>
        <w:tc>
          <w:tcPr>
            <w:tcW w:w="28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w:t>
            </w:r>
            <w:r>
              <w:rPr>
                <w:rFonts w:ascii="宋体" w:hAnsi="宋体" w:cs="宋体"/>
                <w:color w:val="000000"/>
                <w:kern w:val="0"/>
                <w:sz w:val="20"/>
                <w:szCs w:val="20"/>
              </w:rPr>
              <w:t>值</w:t>
            </w:r>
          </w:p>
        </w:tc>
        <w:tc>
          <w:tcPr>
            <w:tcW w:w="281" w:type="pct"/>
            <w:tcBorders>
              <w:top w:val="single" w:color="auto" w:sz="4" w:space="0"/>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w:t>
            </w:r>
            <w:r>
              <w:rPr>
                <w:rFonts w:ascii="宋体" w:hAnsi="宋体" w:cs="宋体"/>
                <w:color w:val="000000"/>
                <w:kern w:val="0"/>
                <w:sz w:val="20"/>
                <w:szCs w:val="20"/>
              </w:rPr>
              <w:t>分</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8"/>
                <w:szCs w:val="18"/>
              </w:rPr>
            </w:pPr>
            <w:r>
              <w:rPr>
                <w:rFonts w:hint="eastAsia" w:ascii="宋体" w:hAnsi="宋体" w:cs="宋体"/>
                <w:bCs/>
                <w:color w:val="000000"/>
                <w:kern w:val="0"/>
                <w:sz w:val="18"/>
                <w:szCs w:val="18"/>
              </w:rPr>
              <w:t>指标</w:t>
            </w:r>
            <w:r>
              <w:rPr>
                <w:rFonts w:ascii="宋体" w:hAnsi="宋体" w:cs="宋体"/>
                <w:bCs/>
                <w:color w:val="000000"/>
                <w:kern w:val="0"/>
                <w:sz w:val="18"/>
                <w:szCs w:val="18"/>
              </w:rPr>
              <w:t>解释</w:t>
            </w:r>
          </w:p>
        </w:tc>
        <w:tc>
          <w:tcPr>
            <w:tcW w:w="1203"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w:t>
            </w:r>
            <w:r>
              <w:rPr>
                <w:rFonts w:ascii="宋体" w:hAnsi="宋体" w:cs="宋体"/>
                <w:color w:val="000000"/>
                <w:kern w:val="0"/>
                <w:sz w:val="18"/>
                <w:szCs w:val="18"/>
              </w:rPr>
              <w:t>分标准</w:t>
            </w:r>
          </w:p>
        </w:tc>
      </w:tr>
      <w:tr>
        <w:tblPrEx>
          <w:tblCellMar>
            <w:top w:w="0" w:type="dxa"/>
            <w:left w:w="108" w:type="dxa"/>
            <w:bottom w:w="0" w:type="dxa"/>
            <w:right w:w="108" w:type="dxa"/>
          </w:tblCellMar>
        </w:tblPrEx>
        <w:trPr>
          <w:cantSplit/>
          <w:trHeight w:val="1230" w:hRule="atLeast"/>
        </w:trPr>
        <w:tc>
          <w:tcPr>
            <w:tcW w:w="379"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预算管理情况（20）</w:t>
            </w:r>
          </w:p>
        </w:tc>
        <w:tc>
          <w:tcPr>
            <w:tcW w:w="382" w:type="pct"/>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财务管理（4）</w:t>
            </w:r>
          </w:p>
        </w:tc>
        <w:tc>
          <w:tcPr>
            <w:tcW w:w="5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财务管理制度健全性</w:t>
            </w:r>
          </w:p>
        </w:tc>
        <w:tc>
          <w:tcPr>
            <w:tcW w:w="44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项目管理制度、财务管理制度等健全</w:t>
            </w:r>
          </w:p>
        </w:tc>
        <w:tc>
          <w:tcPr>
            <w:tcW w:w="2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较健全　</w:t>
            </w:r>
          </w:p>
        </w:tc>
        <w:tc>
          <w:tcPr>
            <w:tcW w:w="28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81" w:type="pct"/>
            <w:tcBorders>
              <w:top w:val="single" w:color="auto" w:sz="4" w:space="0"/>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r>
              <w:rPr>
                <w:rFonts w:ascii="宋体" w:hAnsi="宋体" w:cs="宋体"/>
                <w:color w:val="000000"/>
                <w:kern w:val="0"/>
                <w:sz w:val="20"/>
                <w:szCs w:val="20"/>
              </w:rPr>
              <w:t>.8</w:t>
            </w:r>
            <w:r>
              <w:rPr>
                <w:rFonts w:hint="eastAsia" w:ascii="宋体" w:hAnsi="宋体" w:cs="宋体"/>
                <w:color w:val="000000"/>
                <w:kern w:val="0"/>
                <w:sz w:val="20"/>
                <w:szCs w:val="20"/>
              </w:rPr>
              <w:t>　</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财务管理制度健全性:</w:t>
            </w:r>
            <w:r>
              <w:rPr>
                <w:rFonts w:hint="eastAsia" w:ascii="宋体" w:hAnsi="宋体" w:cs="宋体"/>
                <w:color w:val="000000"/>
                <w:kern w:val="0"/>
                <w:sz w:val="18"/>
                <w:szCs w:val="18"/>
              </w:rPr>
              <w:t>部门（单位）为加强财务管理、规范财务行为而制定的管理制度。</w:t>
            </w:r>
          </w:p>
        </w:tc>
        <w:tc>
          <w:tcPr>
            <w:tcW w:w="1203"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①预算资金管理办法、绩效跟踪管理办法、资产管理办法等各项制度是否健全；②部门内部财务管理制度是否完整、合规；③会计核算制度是否完整、合规。每有一项不合格扣0.5分，扣完为止。</w:t>
            </w:r>
          </w:p>
        </w:tc>
      </w:tr>
      <w:tr>
        <w:tblPrEx>
          <w:tblCellMar>
            <w:top w:w="0" w:type="dxa"/>
            <w:left w:w="108" w:type="dxa"/>
            <w:bottom w:w="0" w:type="dxa"/>
            <w:right w:w="108" w:type="dxa"/>
          </w:tblCellMar>
        </w:tblPrEx>
        <w:trPr>
          <w:cantSplit/>
          <w:trHeight w:val="2220" w:hRule="atLeast"/>
        </w:trPr>
        <w:tc>
          <w:tcPr>
            <w:tcW w:w="37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资金使用合规性和安全性</w:t>
            </w:r>
          </w:p>
        </w:tc>
        <w:tc>
          <w:tcPr>
            <w:tcW w:w="44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符合单位内、外部各项财经纪律、办法要求</w:t>
            </w:r>
          </w:p>
        </w:tc>
        <w:tc>
          <w:tcPr>
            <w:tcW w:w="288"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基本规范</w:t>
            </w:r>
          </w:p>
        </w:tc>
        <w:tc>
          <w:tcPr>
            <w:tcW w:w="281"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1.5</w:t>
            </w:r>
          </w:p>
        </w:tc>
        <w:tc>
          <w:tcPr>
            <w:tcW w:w="281" w:type="pct"/>
            <w:tcBorders>
              <w:top w:val="single" w:color="auto" w:sz="4" w:space="0"/>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.5</w:t>
            </w:r>
            <w:r>
              <w:rPr>
                <w:rFonts w:hint="eastAsia" w:ascii="宋体" w:hAnsi="宋体" w:cs="宋体"/>
                <w:color w:val="000000"/>
                <w:kern w:val="0"/>
                <w:sz w:val="20"/>
                <w:szCs w:val="20"/>
              </w:rPr>
              <w:t>　</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资金使用合规性和安全性:</w:t>
            </w:r>
            <w:r>
              <w:rPr>
                <w:rFonts w:hint="eastAsia" w:ascii="宋体" w:hAnsi="宋体" w:cs="宋体"/>
                <w:color w:val="000000"/>
                <w:kern w:val="0"/>
                <w:sz w:val="18"/>
                <w:szCs w:val="18"/>
              </w:rPr>
              <w:t>部门（单位）使用预算资金是否符合相关的预算财务管理制度的规定，是否符合相关规定的开支范围，用以反映考核部门（单位）预算资金的规范运行和安全运行情况。</w:t>
            </w:r>
          </w:p>
        </w:tc>
        <w:tc>
          <w:tcPr>
            <w:tcW w:w="1203"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是否符合国家财经法规和财务管理制度规定以及有关专项资金管理办法的规定；②资金的拨付是否有完整的审批程序和手续；③项目的重大开支是否经过评估论证；④是否符合部门预算批复的用途；⑤是否存在截留、挤占、挪用情况；⑥资金使用是否符合政府采购的程序和流程；⑦资金使用是否符合公务卡结算相关制度和规定。每有一项不合格扣0.5分，扣完为止。</w:t>
            </w:r>
          </w:p>
        </w:tc>
      </w:tr>
      <w:tr>
        <w:tblPrEx>
          <w:tblCellMar>
            <w:top w:w="0" w:type="dxa"/>
            <w:left w:w="108" w:type="dxa"/>
            <w:bottom w:w="0" w:type="dxa"/>
            <w:right w:w="108" w:type="dxa"/>
          </w:tblCellMar>
        </w:tblPrEx>
        <w:trPr>
          <w:cantSplit/>
          <w:trHeight w:val="410"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04"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会计基础信息完善性</w:t>
            </w:r>
          </w:p>
        </w:tc>
        <w:tc>
          <w:tcPr>
            <w:tcW w:w="442"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符合会计基础规范　</w:t>
            </w:r>
          </w:p>
        </w:tc>
        <w:tc>
          <w:tcPr>
            <w:tcW w:w="288"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符合要求　</w:t>
            </w:r>
          </w:p>
        </w:tc>
        <w:tc>
          <w:tcPr>
            <w:tcW w:w="281"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.5</w:t>
            </w:r>
          </w:p>
        </w:tc>
        <w:tc>
          <w:tcPr>
            <w:tcW w:w="281" w:type="pct"/>
            <w:tcBorders>
              <w:top w:val="nil"/>
              <w:left w:val="nil"/>
              <w:bottom w:val="single" w:color="auto" w:sz="4" w:space="0"/>
              <w:right w:val="nil"/>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r>
              <w:rPr>
                <w:rFonts w:ascii="宋体" w:hAnsi="宋体" w:cs="宋体"/>
                <w:color w:val="000000"/>
                <w:kern w:val="0"/>
                <w:sz w:val="20"/>
                <w:szCs w:val="20"/>
              </w:rPr>
              <w:t>.5</w:t>
            </w:r>
            <w:r>
              <w:rPr>
                <w:rFonts w:hint="eastAsia" w:ascii="宋体" w:hAnsi="宋体" w:cs="宋体"/>
                <w:color w:val="000000"/>
                <w:kern w:val="0"/>
                <w:sz w:val="20"/>
                <w:szCs w:val="20"/>
              </w:rPr>
              <w:t>　</w:t>
            </w:r>
          </w:p>
        </w:tc>
        <w:tc>
          <w:tcPr>
            <w:tcW w:w="1237"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会计基础信息完善性:</w:t>
            </w:r>
            <w:r>
              <w:rPr>
                <w:rFonts w:hint="eastAsia" w:ascii="宋体" w:hAnsi="宋体" w:cs="宋体"/>
                <w:color w:val="000000"/>
                <w:kern w:val="0"/>
                <w:sz w:val="18"/>
                <w:szCs w:val="18"/>
              </w:rPr>
              <w:t>部门（单位）会计基础信息情况。</w:t>
            </w:r>
          </w:p>
        </w:tc>
        <w:tc>
          <w:tcPr>
            <w:tcW w:w="120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①基础数据信息和会计信息资料是否真实；②基础数据信息和会计信息资料是否完整；③基础数据信息和会计信息资料是否准确。每有一项不合格扣0.5分，扣完为止。</w:t>
            </w:r>
          </w:p>
        </w:tc>
      </w:tr>
      <w:tr>
        <w:tblPrEx>
          <w:tblCellMar>
            <w:top w:w="0" w:type="dxa"/>
            <w:left w:w="108" w:type="dxa"/>
            <w:bottom w:w="0" w:type="dxa"/>
            <w:right w:w="108" w:type="dxa"/>
          </w:tblCellMar>
        </w:tblPrEx>
        <w:trPr>
          <w:cantSplit/>
          <w:trHeight w:val="2220"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资产管理（4）</w:t>
            </w:r>
          </w:p>
        </w:tc>
        <w:tc>
          <w:tcPr>
            <w:tcW w:w="504"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资产管理规范性</w:t>
            </w:r>
          </w:p>
        </w:tc>
        <w:tc>
          <w:tcPr>
            <w:tcW w:w="442"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资产采购、日常管理符合资产管理相关规定</w:t>
            </w:r>
          </w:p>
        </w:tc>
        <w:tc>
          <w:tcPr>
            <w:tcW w:w="288"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0"/>
                <w:szCs w:val="20"/>
              </w:rPr>
            </w:pPr>
            <w:r>
              <w:rPr>
                <w:rFonts w:hint="eastAsia" w:ascii="宋体" w:hAnsi="宋体" w:cs="宋体"/>
                <w:sz w:val="20"/>
                <w:szCs w:val="20"/>
              </w:rPr>
              <w:t>基本规范</w:t>
            </w:r>
          </w:p>
        </w:tc>
        <w:tc>
          <w:tcPr>
            <w:tcW w:w="28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1"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资产管理规范性:</w:t>
            </w:r>
            <w:r>
              <w:rPr>
                <w:rFonts w:hint="eastAsia" w:ascii="宋体" w:hAnsi="宋体" w:cs="宋体"/>
                <w:color w:val="000000"/>
                <w:kern w:val="0"/>
                <w:sz w:val="18"/>
                <w:szCs w:val="18"/>
              </w:rPr>
              <w:t>部门（单位）的资产是否保持安全完整，资产配置是否合理，资产使用和资产处理是否规范，用以反映和考核部门（单位）资产管理的整体水平。</w:t>
            </w:r>
          </w:p>
        </w:tc>
        <w:tc>
          <w:tcPr>
            <w:tcW w:w="1203"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对外投资行为是否经审批，是否存在投资亏损；②是否有因管理不当发生严重资产损失和丢失情况；③是否存在超标准配置资产；④资产使用是否规范，是否存在未经批准擅自出租、出借资产行为；⑤资产处置是否规范，是否存在不按要求进行报批或资产不公开处置行为；⑥其它资产管理制度办法执行情况。每有一项不合格扣0.8分，扣完为止。</w:t>
            </w:r>
          </w:p>
        </w:tc>
      </w:tr>
      <w:tr>
        <w:tblPrEx>
          <w:tblCellMar>
            <w:top w:w="0" w:type="dxa"/>
            <w:left w:w="108" w:type="dxa"/>
            <w:bottom w:w="0" w:type="dxa"/>
            <w:right w:w="108" w:type="dxa"/>
          </w:tblCellMar>
        </w:tblPrEx>
        <w:trPr>
          <w:cantSplit/>
          <w:trHeight w:val="1210"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绩效管理（4）</w:t>
            </w:r>
          </w:p>
        </w:tc>
        <w:tc>
          <w:tcPr>
            <w:tcW w:w="504"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绩效管理情况</w:t>
            </w:r>
          </w:p>
        </w:tc>
        <w:tc>
          <w:tcPr>
            <w:tcW w:w="442"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绩效管理组织情况</w:t>
            </w:r>
          </w:p>
        </w:tc>
        <w:tc>
          <w:tcPr>
            <w:tcW w:w="288"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重视绩效管理，组织较好</w:t>
            </w:r>
          </w:p>
        </w:tc>
        <w:tc>
          <w:tcPr>
            <w:tcW w:w="281"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1" w:type="pct"/>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2.5</w:t>
            </w:r>
            <w:r>
              <w:rPr>
                <w:rFonts w:hint="eastAsia" w:ascii="宋体" w:hAnsi="宋体" w:cs="宋体"/>
                <w:color w:val="000000"/>
                <w:kern w:val="0"/>
                <w:sz w:val="20"/>
                <w:szCs w:val="20"/>
              </w:rPr>
              <w:t>　</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绩效管理情况:</w:t>
            </w:r>
            <w:r>
              <w:rPr>
                <w:rFonts w:hint="eastAsia" w:ascii="宋体" w:hAnsi="宋体" w:cs="宋体"/>
                <w:color w:val="000000"/>
                <w:kern w:val="0"/>
                <w:sz w:val="18"/>
                <w:szCs w:val="18"/>
              </w:rPr>
              <w:t>考核部门（单位）在绩效管理信息的汇总和应用情况。</w:t>
            </w:r>
          </w:p>
        </w:tc>
        <w:tc>
          <w:tcPr>
            <w:tcW w:w="1203"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①部门（单位）是否及时对绩效信息进行汇总分析整理；②部门（单位）是否对绩效目标偏离情况及时进行矫正。每有一项不合格扣2分。</w:t>
            </w:r>
          </w:p>
        </w:tc>
      </w:tr>
      <w:tr>
        <w:tblPrEx>
          <w:tblCellMar>
            <w:top w:w="0" w:type="dxa"/>
            <w:left w:w="108" w:type="dxa"/>
            <w:bottom w:w="0" w:type="dxa"/>
            <w:right w:w="108" w:type="dxa"/>
          </w:tblCellMar>
        </w:tblPrEx>
        <w:trPr>
          <w:cantSplit/>
          <w:trHeight w:val="2229"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结转结余率（4）</w:t>
            </w:r>
          </w:p>
        </w:tc>
        <w:tc>
          <w:tcPr>
            <w:tcW w:w="946" w:type="pct"/>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r>
              <w:rPr>
                <w:rFonts w:ascii="宋体" w:hAnsi="宋体" w:cs="宋体"/>
                <w:color w:val="000000"/>
                <w:kern w:val="0"/>
                <w:sz w:val="20"/>
                <w:szCs w:val="20"/>
              </w:rPr>
              <w:t>.09%</w:t>
            </w:r>
            <w:r>
              <w:rPr>
                <w:rFonts w:hint="eastAsia" w:ascii="宋体" w:hAnsi="宋体" w:cs="宋体"/>
                <w:color w:val="000000"/>
                <w:kern w:val="0"/>
                <w:sz w:val="20"/>
                <w:szCs w:val="20"/>
              </w:rPr>
              <w:t>　</w:t>
            </w:r>
          </w:p>
        </w:tc>
        <w:tc>
          <w:tcPr>
            <w:tcW w:w="288"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r>
              <w:rPr>
                <w:rFonts w:ascii="宋体" w:hAnsi="宋体" w:cs="宋体"/>
                <w:color w:val="000000"/>
                <w:kern w:val="0"/>
                <w:sz w:val="20"/>
                <w:szCs w:val="20"/>
              </w:rPr>
              <w:t>.5</w:t>
            </w:r>
            <w:r>
              <w:rPr>
                <w:rFonts w:hint="eastAsia" w:ascii="宋体" w:hAnsi="宋体" w:cs="宋体"/>
                <w:color w:val="000000"/>
                <w:kern w:val="0"/>
                <w:sz w:val="20"/>
                <w:szCs w:val="20"/>
                <w:lang w:val="en-US" w:eastAsia="zh-CN"/>
              </w:rPr>
              <w:t>2</w:t>
            </w:r>
            <w:bookmarkStart w:id="19" w:name="_GoBack"/>
            <w:bookmarkEnd w:id="19"/>
            <w:r>
              <w:rPr>
                <w:rFonts w:ascii="宋体" w:hAnsi="宋体" w:cs="宋体"/>
                <w:color w:val="000000"/>
                <w:kern w:val="0"/>
                <w:sz w:val="20"/>
                <w:szCs w:val="20"/>
              </w:rPr>
              <w:t>%</w:t>
            </w:r>
            <w:r>
              <w:rPr>
                <w:rFonts w:hint="eastAsia" w:ascii="宋体" w:hAnsi="宋体" w:cs="宋体"/>
                <w:color w:val="000000"/>
                <w:kern w:val="0"/>
                <w:sz w:val="20"/>
                <w:szCs w:val="20"/>
              </w:rPr>
              <w:t>　</w:t>
            </w:r>
          </w:p>
        </w:tc>
        <w:tc>
          <w:tcPr>
            <w:tcW w:w="281"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1" w:type="pct"/>
            <w:tcBorders>
              <w:top w:val="nil"/>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　</w:t>
            </w:r>
          </w:p>
        </w:tc>
        <w:tc>
          <w:tcPr>
            <w:tcW w:w="1237" w:type="pc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结转结余率=结转结余总额/支出预算数×100%。</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结转结余总额：部门（单位）本年度的结转资金与结余资金之和。</w:t>
            </w:r>
          </w:p>
        </w:tc>
        <w:tc>
          <w:tcPr>
            <w:tcW w:w="1203" w:type="pct"/>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结转结余率低于上年的不扣分；高于上年结余率，每高出1个百分点扣0.4分，扣完为止。（说明：预算调整和结转结余指标，如非预算部门主观因素导致扣分的，在评分结果征求意见环节，经与相关部门预算主管处室共同研究，可作为例外情况酌情考虑。）</w:t>
            </w:r>
          </w:p>
        </w:tc>
      </w:tr>
      <w:tr>
        <w:tblPrEx>
          <w:tblCellMar>
            <w:top w:w="0" w:type="dxa"/>
            <w:left w:w="108" w:type="dxa"/>
            <w:bottom w:w="0" w:type="dxa"/>
            <w:right w:w="108" w:type="dxa"/>
          </w:tblCellMar>
        </w:tblPrEx>
        <w:trPr>
          <w:cantSplit/>
          <w:trHeight w:val="981" w:hRule="atLeast"/>
        </w:trPr>
        <w:tc>
          <w:tcPr>
            <w:tcW w:w="379"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20"/>
                <w:szCs w:val="20"/>
              </w:rPr>
            </w:pPr>
          </w:p>
        </w:tc>
        <w:tc>
          <w:tcPr>
            <w:tcW w:w="382" w:type="pct"/>
            <w:tcBorders>
              <w:top w:val="nil"/>
              <w:left w:val="nil"/>
              <w:bottom w:val="single" w:color="auto" w:sz="4" w:space="0"/>
              <w:right w:val="single" w:color="auto"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部门预决算差异率（4）</w:t>
            </w:r>
          </w:p>
        </w:tc>
        <w:tc>
          <w:tcPr>
            <w:tcW w:w="946" w:type="pct"/>
            <w:gridSpan w:val="2"/>
            <w:tcBorders>
              <w:top w:val="single" w:color="auto" w:sz="4" w:space="0"/>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288"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r>
              <w:rPr>
                <w:rFonts w:ascii="宋体" w:hAnsi="宋体" w:cs="宋体"/>
                <w:color w:val="000000"/>
                <w:kern w:val="0"/>
                <w:sz w:val="20"/>
                <w:szCs w:val="20"/>
              </w:rPr>
              <w:t>4.52%</w:t>
            </w:r>
          </w:p>
        </w:tc>
        <w:tc>
          <w:tcPr>
            <w:tcW w:w="281"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1" w:type="pct"/>
            <w:tcBorders>
              <w:top w:val="nil"/>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　</w:t>
            </w:r>
          </w:p>
        </w:tc>
        <w:tc>
          <w:tcPr>
            <w:tcW w:w="1237" w:type="pc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通过年度部门决算与年初部门预算对比，对部门的年度支出情况进行考核，衡量部门预算的约束力。</w:t>
            </w:r>
          </w:p>
        </w:tc>
        <w:tc>
          <w:tcPr>
            <w:tcW w:w="1203" w:type="pct"/>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部门预决算差异率高于市级平均差异率（28.3%）的，每高出10%（含），扣0.4分，扣完为止。</w:t>
            </w:r>
          </w:p>
        </w:tc>
      </w:tr>
      <w:tr>
        <w:tblPrEx>
          <w:tblCellMar>
            <w:top w:w="0" w:type="dxa"/>
            <w:left w:w="108" w:type="dxa"/>
            <w:bottom w:w="0" w:type="dxa"/>
            <w:right w:w="108" w:type="dxa"/>
          </w:tblCellMar>
        </w:tblPrEx>
        <w:trPr>
          <w:cantSplit/>
          <w:trHeight w:val="484" w:hRule="atLeast"/>
        </w:trPr>
        <w:tc>
          <w:tcPr>
            <w:tcW w:w="1996" w:type="pct"/>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81" w:type="pc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81" w:type="pct"/>
            <w:tcBorders>
              <w:top w:val="nil"/>
              <w:left w:val="nil"/>
              <w:bottom w:val="single" w:color="auto" w:sz="4" w:space="0"/>
              <w:right w:val="nil"/>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90.3　</w:t>
            </w:r>
          </w:p>
        </w:tc>
        <w:tc>
          <w:tcPr>
            <w:tcW w:w="2441" w:type="pct"/>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r>
    </w:tbl>
    <w:p>
      <w:pPr>
        <w:spacing w:line="20" w:lineRule="exact"/>
        <w:rPr>
          <w:rFonts w:ascii="方正小标宋简体" w:eastAsia="方正小标宋简体"/>
          <w:sz w:val="36"/>
          <w:szCs w:val="36"/>
        </w:rPr>
      </w:pPr>
    </w:p>
    <w:sectPr>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小标宋简体">
    <w:altName w:val="黑体"/>
    <w:panose1 w:val="00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rPr>
        <w:sz w:val="21"/>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iYmRkMGY3YTU0ZmVjYTdhMTFlNTNiMTYzN2RkMjAifQ=="/>
  </w:docVars>
  <w:rsids>
    <w:rsidRoot w:val="F77F09F4"/>
    <w:rsid w:val="000113F1"/>
    <w:rsid w:val="0003079C"/>
    <w:rsid w:val="000B21D6"/>
    <w:rsid w:val="000B4CBC"/>
    <w:rsid w:val="000D1317"/>
    <w:rsid w:val="000D50D9"/>
    <w:rsid w:val="000D6893"/>
    <w:rsid w:val="000F2563"/>
    <w:rsid w:val="00140FFD"/>
    <w:rsid w:val="00147C2C"/>
    <w:rsid w:val="00200BA6"/>
    <w:rsid w:val="0020445F"/>
    <w:rsid w:val="002216F8"/>
    <w:rsid w:val="00242E40"/>
    <w:rsid w:val="00255A82"/>
    <w:rsid w:val="00275A50"/>
    <w:rsid w:val="00297ABB"/>
    <w:rsid w:val="002C526D"/>
    <w:rsid w:val="002F4CDE"/>
    <w:rsid w:val="002F569D"/>
    <w:rsid w:val="00315A70"/>
    <w:rsid w:val="00315E41"/>
    <w:rsid w:val="003B0D08"/>
    <w:rsid w:val="003B22FD"/>
    <w:rsid w:val="003D3965"/>
    <w:rsid w:val="003F001B"/>
    <w:rsid w:val="00451D42"/>
    <w:rsid w:val="00464BF9"/>
    <w:rsid w:val="004863F7"/>
    <w:rsid w:val="004C0B74"/>
    <w:rsid w:val="004C644D"/>
    <w:rsid w:val="004E588F"/>
    <w:rsid w:val="004F4009"/>
    <w:rsid w:val="00563BC3"/>
    <w:rsid w:val="005A1B8F"/>
    <w:rsid w:val="005D7A1C"/>
    <w:rsid w:val="00630FC2"/>
    <w:rsid w:val="0068256A"/>
    <w:rsid w:val="00690E47"/>
    <w:rsid w:val="00695BD6"/>
    <w:rsid w:val="006C70BA"/>
    <w:rsid w:val="006E2BE7"/>
    <w:rsid w:val="00731BE6"/>
    <w:rsid w:val="00736087"/>
    <w:rsid w:val="0075200A"/>
    <w:rsid w:val="007F7577"/>
    <w:rsid w:val="0086589E"/>
    <w:rsid w:val="00871542"/>
    <w:rsid w:val="00886DC9"/>
    <w:rsid w:val="008951F8"/>
    <w:rsid w:val="008D03C4"/>
    <w:rsid w:val="008E6751"/>
    <w:rsid w:val="008F3826"/>
    <w:rsid w:val="0091511A"/>
    <w:rsid w:val="009252DB"/>
    <w:rsid w:val="009477BD"/>
    <w:rsid w:val="009738EB"/>
    <w:rsid w:val="00981A1D"/>
    <w:rsid w:val="00997458"/>
    <w:rsid w:val="009D13F1"/>
    <w:rsid w:val="009E3EF3"/>
    <w:rsid w:val="009F7110"/>
    <w:rsid w:val="009F7932"/>
    <w:rsid w:val="00A14C59"/>
    <w:rsid w:val="00A20E68"/>
    <w:rsid w:val="00A43FCD"/>
    <w:rsid w:val="00A94EC5"/>
    <w:rsid w:val="00A9747B"/>
    <w:rsid w:val="00AB35F2"/>
    <w:rsid w:val="00AF5887"/>
    <w:rsid w:val="00B358B7"/>
    <w:rsid w:val="00B41514"/>
    <w:rsid w:val="00B635AD"/>
    <w:rsid w:val="00B65075"/>
    <w:rsid w:val="00BC3F7C"/>
    <w:rsid w:val="00BC70CA"/>
    <w:rsid w:val="00C50785"/>
    <w:rsid w:val="00CB0A76"/>
    <w:rsid w:val="00D76FB2"/>
    <w:rsid w:val="00D916E5"/>
    <w:rsid w:val="00DA790E"/>
    <w:rsid w:val="00E01E95"/>
    <w:rsid w:val="00E13946"/>
    <w:rsid w:val="00E475BC"/>
    <w:rsid w:val="00E6386F"/>
    <w:rsid w:val="00E95269"/>
    <w:rsid w:val="00EC7B57"/>
    <w:rsid w:val="00F0723A"/>
    <w:rsid w:val="00F75D90"/>
    <w:rsid w:val="00F84A7E"/>
    <w:rsid w:val="00FC1FB9"/>
    <w:rsid w:val="00FC50B2"/>
    <w:rsid w:val="00FD7442"/>
    <w:rsid w:val="12345F89"/>
    <w:rsid w:val="12A1622E"/>
    <w:rsid w:val="175F53D8"/>
    <w:rsid w:val="37173543"/>
    <w:rsid w:val="385F273C"/>
    <w:rsid w:val="3FDBA076"/>
    <w:rsid w:val="3FDFB3F0"/>
    <w:rsid w:val="3FDFC9A6"/>
    <w:rsid w:val="3FF76880"/>
    <w:rsid w:val="530D7B86"/>
    <w:rsid w:val="5A8735D9"/>
    <w:rsid w:val="5BFD4AC2"/>
    <w:rsid w:val="67759716"/>
    <w:rsid w:val="6BDF0578"/>
    <w:rsid w:val="6D1B624D"/>
    <w:rsid w:val="6F7ED27B"/>
    <w:rsid w:val="75B17A7C"/>
    <w:rsid w:val="7AB7FF50"/>
    <w:rsid w:val="7AEAF641"/>
    <w:rsid w:val="7BAD2729"/>
    <w:rsid w:val="7BFEB0DB"/>
    <w:rsid w:val="7FFF4E81"/>
    <w:rsid w:val="7FFFD0D3"/>
    <w:rsid w:val="8716660E"/>
    <w:rsid w:val="A3AA735E"/>
    <w:rsid w:val="A75D4892"/>
    <w:rsid w:val="AFFFCE02"/>
    <w:rsid w:val="CEFD3F3D"/>
    <w:rsid w:val="D6B22E60"/>
    <w:rsid w:val="EA3F77F2"/>
    <w:rsid w:val="EEFE5989"/>
    <w:rsid w:val="EFCF3EAE"/>
    <w:rsid w:val="F4FDEB06"/>
    <w:rsid w:val="F5B764A2"/>
    <w:rsid w:val="F77F09F4"/>
    <w:rsid w:val="FBFF6E65"/>
    <w:rsid w:val="FEEF6AA0"/>
    <w:rsid w:val="FFB792B8"/>
    <w:rsid w:val="FFD7BFFC"/>
    <w:rsid w:val="FFFA6B0F"/>
    <w:rsid w:val="FFFFB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50" w:beforeLines="50" w:after="50" w:afterLines="50" w:line="360" w:lineRule="auto"/>
      <w:ind w:firstLine="641"/>
      <w:outlineLvl w:val="0"/>
    </w:pPr>
    <w:rPr>
      <w:rFonts w:ascii="黑体" w:hAnsi="黑体" w:eastAsia="黑体" w:cs="宋体"/>
      <w:b/>
      <w:color w:val="000000"/>
      <w:kern w:val="0"/>
      <w:sz w:val="32"/>
    </w:rPr>
  </w:style>
  <w:style w:type="paragraph" w:styleId="3">
    <w:name w:val="heading 2"/>
    <w:basedOn w:val="1"/>
    <w:next w:val="1"/>
    <w:qFormat/>
    <w:uiPriority w:val="0"/>
    <w:pPr>
      <w:keepNext/>
      <w:keepLines/>
      <w:spacing w:before="120" w:after="120" w:line="360" w:lineRule="auto"/>
      <w:ind w:firstLine="200" w:firstLineChars="200"/>
      <w:outlineLvl w:val="1"/>
    </w:pPr>
    <w:rPr>
      <w:rFonts w:ascii="Arial" w:hAnsi="Arial" w:eastAsia="楷体"/>
      <w:b/>
      <w:sz w:val="32"/>
    </w:rPr>
  </w:style>
  <w:style w:type="character" w:default="1" w:styleId="21">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qFormat/>
    <w:uiPriority w:val="0"/>
    <w:pPr>
      <w:ind w:left="1260"/>
      <w:jc w:val="left"/>
    </w:pPr>
    <w:rPr>
      <w:rFonts w:asciiTheme="minorHAnsi" w:hAnsiTheme="minorHAnsi" w:cstheme="minorHAnsi"/>
      <w:sz w:val="18"/>
      <w:szCs w:val="18"/>
    </w:rPr>
  </w:style>
  <w:style w:type="paragraph" w:styleId="5">
    <w:name w:val="annotation text"/>
    <w:basedOn w:val="1"/>
    <w:qFormat/>
    <w:uiPriority w:val="0"/>
    <w:pPr>
      <w:jc w:val="left"/>
    </w:pPr>
  </w:style>
  <w:style w:type="paragraph" w:styleId="6">
    <w:name w:val="toc 5"/>
    <w:basedOn w:val="1"/>
    <w:next w:val="1"/>
    <w:qFormat/>
    <w:uiPriority w:val="0"/>
    <w:pPr>
      <w:ind w:left="840"/>
      <w:jc w:val="left"/>
    </w:pPr>
    <w:rPr>
      <w:rFonts w:asciiTheme="minorHAnsi" w:hAnsiTheme="minorHAnsi" w:cstheme="minorHAnsi"/>
      <w:sz w:val="18"/>
      <w:szCs w:val="18"/>
    </w:rPr>
  </w:style>
  <w:style w:type="paragraph" w:styleId="7">
    <w:name w:val="toc 3"/>
    <w:basedOn w:val="1"/>
    <w:next w:val="1"/>
    <w:qFormat/>
    <w:uiPriority w:val="0"/>
    <w:pPr>
      <w:ind w:left="420"/>
      <w:jc w:val="left"/>
    </w:pPr>
    <w:rPr>
      <w:rFonts w:asciiTheme="minorHAnsi" w:hAnsiTheme="minorHAnsi" w:cstheme="minorHAnsi"/>
      <w:i/>
      <w:iCs/>
      <w:sz w:val="20"/>
      <w:szCs w:val="20"/>
    </w:rPr>
  </w:style>
  <w:style w:type="paragraph" w:styleId="8">
    <w:name w:val="toc 8"/>
    <w:basedOn w:val="1"/>
    <w:next w:val="1"/>
    <w:qFormat/>
    <w:uiPriority w:val="0"/>
    <w:pPr>
      <w:ind w:left="1470"/>
      <w:jc w:val="left"/>
    </w:pPr>
    <w:rPr>
      <w:rFonts w:asciiTheme="minorHAnsi" w:hAnsiTheme="minorHAnsi" w:cstheme="minorHAnsi"/>
      <w:sz w:val="18"/>
      <w:szCs w:val="18"/>
    </w:rPr>
  </w:style>
  <w:style w:type="paragraph" w:styleId="9">
    <w:name w:val="Balloon Text"/>
    <w:basedOn w:val="1"/>
    <w:link w:val="27"/>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20"/>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13">
    <w:name w:val="toc 4"/>
    <w:basedOn w:val="1"/>
    <w:next w:val="1"/>
    <w:qFormat/>
    <w:uiPriority w:val="0"/>
    <w:pPr>
      <w:ind w:left="630"/>
      <w:jc w:val="left"/>
    </w:pPr>
    <w:rPr>
      <w:rFonts w:asciiTheme="minorHAnsi" w:hAnsiTheme="minorHAnsi" w:cstheme="minorHAnsi"/>
      <w:sz w:val="18"/>
      <w:szCs w:val="18"/>
    </w:rPr>
  </w:style>
  <w:style w:type="paragraph" w:styleId="14">
    <w:name w:val="toc 6"/>
    <w:basedOn w:val="1"/>
    <w:next w:val="1"/>
    <w:qFormat/>
    <w:uiPriority w:val="0"/>
    <w:pPr>
      <w:ind w:left="1050"/>
      <w:jc w:val="left"/>
    </w:pPr>
    <w:rPr>
      <w:rFonts w:asciiTheme="minorHAnsi" w:hAnsiTheme="minorHAnsi" w:cstheme="minorHAnsi"/>
      <w:sz w:val="18"/>
      <w:szCs w:val="18"/>
    </w:rPr>
  </w:style>
  <w:style w:type="paragraph" w:styleId="15">
    <w:name w:val="toc 2"/>
    <w:basedOn w:val="1"/>
    <w:next w:val="1"/>
    <w:qFormat/>
    <w:uiPriority w:val="39"/>
    <w:pPr>
      <w:tabs>
        <w:tab w:val="right" w:leader="dot" w:pos="8296"/>
      </w:tabs>
      <w:ind w:left="210" w:firstLine="400" w:firstLineChars="200"/>
      <w:jc w:val="left"/>
    </w:pPr>
    <w:rPr>
      <w:rFonts w:asciiTheme="minorHAnsi" w:hAnsiTheme="minorHAnsi" w:cstheme="minorHAnsi"/>
      <w:smallCaps/>
      <w:sz w:val="20"/>
      <w:szCs w:val="20"/>
    </w:rPr>
  </w:style>
  <w:style w:type="paragraph" w:styleId="16">
    <w:name w:val="toc 9"/>
    <w:basedOn w:val="1"/>
    <w:next w:val="1"/>
    <w:qFormat/>
    <w:uiPriority w:val="0"/>
    <w:pPr>
      <w:ind w:left="1680"/>
      <w:jc w:val="left"/>
    </w:pPr>
    <w:rPr>
      <w:rFonts w:asciiTheme="minorHAnsi" w:hAnsiTheme="minorHAnsi" w:cstheme="minorHAnsi"/>
      <w:sz w:val="18"/>
      <w:szCs w:val="18"/>
    </w:rPr>
  </w:style>
  <w:style w:type="paragraph" w:styleId="17">
    <w:name w:val="Normal (Web)"/>
    <w:basedOn w:val="1"/>
    <w:qFormat/>
    <w:uiPriority w:val="0"/>
    <w:pPr>
      <w:spacing w:beforeAutospacing="1" w:afterAutospacing="1" w:line="312" w:lineRule="auto"/>
      <w:ind w:firstLine="200" w:firstLineChars="200"/>
      <w:jc w:val="left"/>
    </w:pPr>
    <w:rPr>
      <w:kern w:val="0"/>
      <w:sz w:val="24"/>
      <w:szCs w:val="22"/>
    </w:rPr>
  </w:style>
  <w:style w:type="paragraph" w:styleId="18">
    <w:name w:val="index 1"/>
    <w:basedOn w:val="1"/>
    <w:next w:val="1"/>
    <w:unhideWhenUsed/>
    <w:qFormat/>
    <w:uiPriority w:val="0"/>
    <w:rPr>
      <w:rFonts w:ascii="Calibri" w:hAnsi="Calibri"/>
    </w:rPr>
  </w:style>
  <w:style w:type="paragraph" w:styleId="19">
    <w:name w:val="Title"/>
    <w:basedOn w:val="1"/>
    <w:next w:val="1"/>
    <w:link w:val="26"/>
    <w:qFormat/>
    <w:uiPriority w:val="0"/>
    <w:pPr>
      <w:spacing w:before="240" w:after="60"/>
      <w:jc w:val="center"/>
      <w:outlineLvl w:val="0"/>
    </w:pPr>
    <w:rPr>
      <w:rFonts w:asciiTheme="majorHAnsi" w:hAnsiTheme="majorHAnsi" w:eastAsiaTheme="majorEastAsia" w:cstheme="majorBidi"/>
      <w:b/>
      <w:bCs/>
      <w:sz w:val="32"/>
      <w:szCs w:val="32"/>
    </w:r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uiPriority w:val="0"/>
    <w:rPr>
      <w:sz w:val="21"/>
      <w:szCs w:val="21"/>
    </w:rPr>
  </w:style>
  <w:style w:type="paragraph" w:customStyle="1" w:styleId="24">
    <w:name w:val="列出段落1"/>
    <w:basedOn w:val="1"/>
    <w:qFormat/>
    <w:uiPriority w:val="34"/>
    <w:pPr>
      <w:ind w:firstLine="420" w:firstLineChars="200"/>
    </w:pPr>
    <w:rPr>
      <w:rFonts w:ascii="Calibri" w:hAnsi="Calibri" w:cs="黑体"/>
      <w:szCs w:val="22"/>
    </w:rPr>
  </w:style>
  <w:style w:type="paragraph" w:styleId="25">
    <w:name w:val="List Paragraph"/>
    <w:basedOn w:val="1"/>
    <w:qFormat/>
    <w:uiPriority w:val="34"/>
    <w:pPr>
      <w:ind w:firstLine="420" w:firstLineChars="200"/>
    </w:pPr>
  </w:style>
  <w:style w:type="character" w:customStyle="1" w:styleId="26">
    <w:name w:val="标题 字符"/>
    <w:basedOn w:val="21"/>
    <w:link w:val="19"/>
    <w:qFormat/>
    <w:uiPriority w:val="0"/>
    <w:rPr>
      <w:rFonts w:asciiTheme="majorHAnsi" w:hAnsiTheme="majorHAnsi" w:eastAsiaTheme="majorEastAsia" w:cstheme="majorBidi"/>
      <w:b/>
      <w:bCs/>
      <w:kern w:val="2"/>
      <w:sz w:val="32"/>
      <w:szCs w:val="32"/>
    </w:rPr>
  </w:style>
  <w:style w:type="character" w:customStyle="1" w:styleId="27">
    <w:name w:val="批注框文本 字符"/>
    <w:basedOn w:val="21"/>
    <w:link w:val="9"/>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B9273A-DC50-46B4-B93A-BEED1E8626D8}">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10109</Words>
  <Characters>10723</Characters>
  <Lines>88</Lines>
  <Paragraphs>24</Paragraphs>
  <TotalTime>17</TotalTime>
  <ScaleCrop>false</ScaleCrop>
  <LinksUpToDate>false</LinksUpToDate>
  <CharactersWithSpaces>10812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2022-03-14T19:16:00Z</dcterms:created>
  <dc:creator>user</dc:creator>
  <cp:lastModifiedBy>Administrator</cp:lastModifiedBy>
  <cp:lastPrinted>2023-03-06T01:31:00Z</cp:lastPrinted>
  <dcterms:modified xsi:type="dcterms:W3CDTF">2023-05-31T03:23:52Z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346DCD0693A5411DBDE9154C7E3AD30F_13</vt:lpwstr>
  </property>
</Properties>
</file>