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b/>
          <w:sz w:val="44"/>
          <w:szCs w:val="44"/>
        </w:rPr>
      </w:pPr>
    </w:p>
    <w:p>
      <w:pPr>
        <w:snapToGrid w:val="0"/>
        <w:spacing w:line="360" w:lineRule="auto"/>
        <w:jc w:val="center"/>
        <w:rPr>
          <w:rFonts w:ascii="宋体" w:hAnsi="宋体"/>
          <w:b/>
          <w:sz w:val="44"/>
          <w:szCs w:val="44"/>
        </w:rPr>
      </w:pPr>
    </w:p>
    <w:p>
      <w:pPr>
        <w:snapToGrid w:val="0"/>
        <w:spacing w:line="360" w:lineRule="auto"/>
        <w:jc w:val="center"/>
        <w:rPr>
          <w:b/>
          <w:sz w:val="52"/>
          <w:szCs w:val="52"/>
        </w:rPr>
      </w:pPr>
      <w:r>
        <w:rPr>
          <w:rFonts w:hint="eastAsia"/>
          <w:b/>
          <w:sz w:val="52"/>
          <w:szCs w:val="52"/>
        </w:rPr>
        <w:t>中共北京市委统战部</w:t>
      </w:r>
    </w:p>
    <w:p>
      <w:pPr>
        <w:snapToGrid w:val="0"/>
        <w:spacing w:line="360" w:lineRule="auto"/>
        <w:jc w:val="center"/>
        <w:rPr>
          <w:b/>
          <w:sz w:val="52"/>
          <w:szCs w:val="52"/>
        </w:rPr>
      </w:pPr>
      <w:r>
        <w:rPr>
          <w:rFonts w:hint="eastAsia"/>
          <w:b/>
          <w:sz w:val="52"/>
          <w:szCs w:val="52"/>
        </w:rPr>
        <w:t>部门</w:t>
      </w:r>
      <w:r>
        <w:rPr>
          <w:b/>
          <w:sz w:val="52"/>
          <w:szCs w:val="52"/>
        </w:rPr>
        <w:t>整体支出绩效评价报告</w:t>
      </w:r>
    </w:p>
    <w:p>
      <w:pPr>
        <w:snapToGrid w:val="0"/>
        <w:spacing w:line="360" w:lineRule="auto"/>
        <w:ind w:firstLine="600"/>
        <w:rPr>
          <w:sz w:val="30"/>
        </w:rPr>
      </w:pPr>
    </w:p>
    <w:p>
      <w:pPr>
        <w:snapToGrid w:val="0"/>
        <w:spacing w:line="360" w:lineRule="auto"/>
        <w:ind w:firstLine="640"/>
        <w:jc w:val="center"/>
        <w:rPr>
          <w:rFonts w:eastAsia="仿宋_GB2312"/>
          <w:sz w:val="32"/>
          <w:szCs w:val="32"/>
        </w:rPr>
      </w:pPr>
    </w:p>
    <w:p>
      <w:pPr>
        <w:snapToGrid w:val="0"/>
        <w:spacing w:line="360" w:lineRule="auto"/>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tabs>
          <w:tab w:val="left" w:pos="3825"/>
          <w:tab w:val="center" w:pos="4153"/>
        </w:tabs>
        <w:spacing w:line="560" w:lineRule="exact"/>
        <w:jc w:val="center"/>
        <w:rPr>
          <w:rFonts w:eastAsia="黑体"/>
          <w:sz w:val="36"/>
          <w:szCs w:val="36"/>
        </w:rPr>
      </w:pPr>
      <w:r>
        <w:rPr>
          <w:rFonts w:hint="eastAsia" w:eastAsia="黑体"/>
          <w:sz w:val="36"/>
          <w:szCs w:val="36"/>
        </w:rPr>
        <w:t>中共北京市委统战部</w:t>
      </w:r>
    </w:p>
    <w:p>
      <w:pPr>
        <w:tabs>
          <w:tab w:val="left" w:pos="3825"/>
          <w:tab w:val="center" w:pos="4153"/>
        </w:tabs>
        <w:spacing w:line="560" w:lineRule="exact"/>
        <w:jc w:val="center"/>
        <w:rPr>
          <w:rFonts w:ascii="宋体" w:hAnsi="宋体"/>
          <w:b/>
          <w:sz w:val="44"/>
          <w:szCs w:val="44"/>
        </w:rPr>
      </w:pPr>
      <w:r>
        <w:rPr>
          <w:rFonts w:hint="eastAsia" w:eastAsia="黑体"/>
          <w:sz w:val="36"/>
          <w:szCs w:val="36"/>
        </w:rPr>
        <w:t>二〇二四</w:t>
      </w:r>
      <w:r>
        <w:rPr>
          <w:rFonts w:eastAsia="黑体"/>
          <w:sz w:val="36"/>
          <w:szCs w:val="36"/>
        </w:rPr>
        <w:t>年</w:t>
      </w:r>
      <w:r>
        <w:rPr>
          <w:rFonts w:hint="eastAsia" w:eastAsia="黑体"/>
          <w:sz w:val="36"/>
          <w:szCs w:val="36"/>
        </w:rPr>
        <w:t>五</w:t>
      </w:r>
      <w:r>
        <w:rPr>
          <w:rFonts w:eastAsia="黑体"/>
          <w:sz w:val="36"/>
          <w:szCs w:val="36"/>
        </w:rPr>
        <w:t>月</w:t>
      </w:r>
    </w:p>
    <w:p>
      <w:pPr>
        <w:spacing w:line="560" w:lineRule="exact"/>
        <w:jc w:val="center"/>
        <w:rPr>
          <w:rFonts w:ascii="方正小标宋简体" w:eastAsia="方正小标宋简体"/>
          <w:sz w:val="36"/>
          <w:szCs w:val="36"/>
        </w:rPr>
      </w:pPr>
    </w:p>
    <w:p>
      <w:pPr>
        <w:spacing w:line="560" w:lineRule="exact"/>
        <w:jc w:val="center"/>
        <w:rPr>
          <w:rFonts w:ascii="方正小标宋简体" w:eastAsia="方正小标宋简体"/>
          <w:sz w:val="36"/>
          <w:szCs w:val="36"/>
        </w:rPr>
        <w:sectPr>
          <w:footerReference r:id="rId3" w:type="default"/>
          <w:pgSz w:w="11906" w:h="16838"/>
          <w:pgMar w:top="1440" w:right="1800" w:bottom="1440" w:left="1800" w:header="851" w:footer="964" w:gutter="0"/>
          <w:pgNumType w:start="1"/>
          <w:cols w:space="425" w:num="1"/>
          <w:titlePg/>
          <w:docGrid w:type="lines" w:linePitch="435" w:charSpace="0"/>
        </w:sectPr>
      </w:pPr>
    </w:p>
    <w:p>
      <w:pPr>
        <w:spacing w:after="435" w:afterLines="100" w:line="560" w:lineRule="exact"/>
        <w:jc w:val="center"/>
        <w:rPr>
          <w:rFonts w:ascii="宋体" w:hAnsi="宋体"/>
          <w:b/>
          <w:sz w:val="44"/>
          <w:szCs w:val="44"/>
        </w:rPr>
      </w:pPr>
      <w:r>
        <w:rPr>
          <w:rFonts w:hint="eastAsia" w:ascii="宋体" w:hAnsi="宋体"/>
          <w:b/>
          <w:sz w:val="44"/>
          <w:szCs w:val="44"/>
        </w:rPr>
        <w:t>目 录</w:t>
      </w:r>
    </w:p>
    <w:p>
      <w:pPr>
        <w:pStyle w:val="12"/>
        <w:tabs>
          <w:tab w:val="right" w:leader="dot" w:pos="8296"/>
        </w:tabs>
        <w:spacing w:before="217" w:beforeLines="50"/>
        <w:rPr>
          <w:rStyle w:val="22"/>
          <w:rFonts w:asciiTheme="minorEastAsia" w:hAnsiTheme="minorEastAsia"/>
          <w:sz w:val="28"/>
          <w:szCs w:val="28"/>
        </w:rPr>
      </w:pPr>
      <w:r>
        <w:rPr>
          <w:rFonts w:ascii="方正小标宋简体" w:eastAsia="方正小标宋简体"/>
          <w:sz w:val="36"/>
          <w:szCs w:val="36"/>
        </w:rPr>
        <w:fldChar w:fldCharType="begin"/>
      </w:r>
      <w:r>
        <w:rPr>
          <w:rFonts w:ascii="方正小标宋简体" w:eastAsia="方正小标宋简体"/>
          <w:sz w:val="36"/>
          <w:szCs w:val="36"/>
        </w:rPr>
        <w:instrText xml:space="preserve"> TOC \o "1-2" \h \z \u </w:instrText>
      </w:r>
      <w:r>
        <w:rPr>
          <w:rFonts w:ascii="方正小标宋简体" w:eastAsia="方正小标宋简体"/>
          <w:sz w:val="36"/>
          <w:szCs w:val="36"/>
        </w:rPr>
        <w:fldChar w:fldCharType="separate"/>
      </w:r>
      <w:r>
        <w:fldChar w:fldCharType="begin"/>
      </w:r>
      <w:r>
        <w:instrText xml:space="preserve"> HYPERLINK \l "_Toc135004715" </w:instrText>
      </w:r>
      <w:r>
        <w:fldChar w:fldCharType="separate"/>
      </w:r>
      <w:r>
        <w:rPr>
          <w:rStyle w:val="22"/>
          <w:rFonts w:asciiTheme="minorEastAsia" w:hAnsiTheme="minorEastAsia" w:eastAsiaTheme="minorEastAsia"/>
          <w:sz w:val="28"/>
          <w:szCs w:val="28"/>
        </w:rPr>
        <w:t>一、部门概况</w:t>
      </w:r>
      <w:r>
        <w:rPr>
          <w:rStyle w:val="22"/>
          <w:rFonts w:asciiTheme="minorEastAsia" w:hAnsiTheme="minorEastAsia" w:eastAsiaTheme="minorEastAsia"/>
          <w:sz w:val="28"/>
          <w:szCs w:val="28"/>
        </w:rPr>
        <w:tab/>
      </w:r>
      <w:r>
        <w:rPr>
          <w:rStyle w:val="22"/>
          <w:rFonts w:asciiTheme="minorEastAsia" w:hAnsiTheme="minorEastAsia" w:eastAsiaTheme="minorEastAsia"/>
          <w:sz w:val="28"/>
          <w:szCs w:val="28"/>
        </w:rPr>
        <w:fldChar w:fldCharType="begin"/>
      </w:r>
      <w:r>
        <w:rPr>
          <w:rStyle w:val="22"/>
          <w:rFonts w:asciiTheme="minorEastAsia" w:hAnsiTheme="minorEastAsia" w:eastAsiaTheme="minorEastAsia"/>
          <w:sz w:val="28"/>
          <w:szCs w:val="28"/>
        </w:rPr>
        <w:instrText xml:space="preserve"> PAGEREF _Toc135004715 \h </w:instrText>
      </w:r>
      <w:r>
        <w:rPr>
          <w:rStyle w:val="22"/>
          <w:rFonts w:asciiTheme="minorEastAsia" w:hAnsiTheme="minorEastAsia" w:eastAsiaTheme="minorEastAsia"/>
          <w:sz w:val="28"/>
          <w:szCs w:val="28"/>
        </w:rPr>
        <w:fldChar w:fldCharType="separate"/>
      </w:r>
      <w:r>
        <w:rPr>
          <w:rStyle w:val="22"/>
          <w:rFonts w:asciiTheme="minorEastAsia" w:hAnsiTheme="minorEastAsia" w:eastAsiaTheme="minorEastAsia"/>
          <w:sz w:val="28"/>
          <w:szCs w:val="28"/>
        </w:rPr>
        <w:t>1</w:t>
      </w:r>
      <w:r>
        <w:rPr>
          <w:rStyle w:val="22"/>
          <w:rFonts w:asciiTheme="minorEastAsia" w:hAnsiTheme="minorEastAsia" w:eastAsiaTheme="minorEastAsia"/>
          <w:sz w:val="28"/>
          <w:szCs w:val="28"/>
        </w:rPr>
        <w:fldChar w:fldCharType="end"/>
      </w:r>
      <w:r>
        <w:rPr>
          <w:rStyle w:val="22"/>
          <w:rFonts w:asciiTheme="minorEastAsia" w:hAnsiTheme="minorEastAsia" w:eastAsiaTheme="minorEastAsia"/>
          <w:sz w:val="28"/>
          <w:szCs w:val="28"/>
        </w:rPr>
        <w:fldChar w:fldCharType="end"/>
      </w:r>
    </w:p>
    <w:p>
      <w:pPr>
        <w:pStyle w:val="15"/>
        <w:spacing w:before="217" w:beforeLines="50"/>
        <w:rPr>
          <w:rFonts w:eastAsiaTheme="minorEastAsia" w:cstheme="minorBidi"/>
          <w:sz w:val="28"/>
          <w:szCs w:val="28"/>
        </w:rPr>
      </w:pPr>
      <w:r>
        <w:fldChar w:fldCharType="begin"/>
      </w:r>
      <w:r>
        <w:instrText xml:space="preserve"> HYPERLINK \l "_Toc135004716" </w:instrText>
      </w:r>
      <w:r>
        <w:fldChar w:fldCharType="separate"/>
      </w:r>
      <w:r>
        <w:rPr>
          <w:rStyle w:val="22"/>
          <w:sz w:val="28"/>
          <w:szCs w:val="28"/>
        </w:rPr>
        <w:t>（一）机构设置及职责工作任务情况</w:t>
      </w:r>
      <w:r>
        <w:rPr>
          <w:sz w:val="28"/>
          <w:szCs w:val="28"/>
        </w:rPr>
        <w:tab/>
      </w:r>
      <w:r>
        <w:rPr>
          <w:sz w:val="28"/>
          <w:szCs w:val="28"/>
        </w:rPr>
        <w:fldChar w:fldCharType="begin"/>
      </w:r>
      <w:r>
        <w:rPr>
          <w:sz w:val="28"/>
          <w:szCs w:val="28"/>
        </w:rPr>
        <w:instrText xml:space="preserve"> PAGEREF _Toc135004716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5"/>
        <w:spacing w:before="217" w:beforeLines="50"/>
        <w:rPr>
          <w:rFonts w:eastAsiaTheme="minorEastAsia" w:cstheme="minorBidi"/>
          <w:sz w:val="28"/>
          <w:szCs w:val="28"/>
        </w:rPr>
      </w:pPr>
      <w:r>
        <w:fldChar w:fldCharType="begin"/>
      </w:r>
      <w:r>
        <w:instrText xml:space="preserve"> HYPERLINK \l "_Toc135004717" </w:instrText>
      </w:r>
      <w:r>
        <w:fldChar w:fldCharType="separate"/>
      </w:r>
      <w:r>
        <w:rPr>
          <w:rStyle w:val="22"/>
          <w:sz w:val="28"/>
          <w:szCs w:val="28"/>
        </w:rPr>
        <w:t>（二）部门整体绩效目标设立情况</w:t>
      </w:r>
      <w:r>
        <w:rPr>
          <w:sz w:val="28"/>
          <w:szCs w:val="28"/>
        </w:rPr>
        <w:tab/>
      </w:r>
      <w:r>
        <w:rPr>
          <w:sz w:val="28"/>
          <w:szCs w:val="28"/>
        </w:rPr>
        <w:fldChar w:fldCharType="begin"/>
      </w:r>
      <w:r>
        <w:rPr>
          <w:sz w:val="28"/>
          <w:szCs w:val="28"/>
        </w:rPr>
        <w:instrText xml:space="preserve"> PAGEREF _Toc135004717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2"/>
        <w:tabs>
          <w:tab w:val="right" w:leader="dot" w:pos="8296"/>
        </w:tabs>
        <w:spacing w:before="217" w:beforeLines="50"/>
        <w:rPr>
          <w:rFonts w:asciiTheme="minorEastAsia" w:hAnsiTheme="minorEastAsia" w:eastAsiaTheme="minorEastAsia" w:cstheme="minorBidi"/>
          <w:b w:val="0"/>
          <w:bCs w:val="0"/>
          <w:caps w:val="0"/>
          <w:sz w:val="28"/>
          <w:szCs w:val="28"/>
        </w:rPr>
      </w:pPr>
      <w:r>
        <w:fldChar w:fldCharType="begin"/>
      </w:r>
      <w:r>
        <w:instrText xml:space="preserve"> HYPERLINK \l "_Toc135004718" </w:instrText>
      </w:r>
      <w:r>
        <w:fldChar w:fldCharType="separate"/>
      </w:r>
      <w:r>
        <w:rPr>
          <w:rStyle w:val="22"/>
          <w:rFonts w:asciiTheme="minorEastAsia" w:hAnsiTheme="minorEastAsia" w:eastAsiaTheme="minorEastAsia"/>
          <w:sz w:val="28"/>
          <w:szCs w:val="28"/>
        </w:rPr>
        <w:t>二、当年预算执行情况</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_Toc135004718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8296"/>
        </w:tabs>
        <w:spacing w:before="217" w:beforeLines="50"/>
        <w:rPr>
          <w:rFonts w:asciiTheme="minorEastAsia" w:hAnsiTheme="minorEastAsia" w:eastAsiaTheme="minorEastAsia" w:cstheme="minorBidi"/>
          <w:b w:val="0"/>
          <w:bCs w:val="0"/>
          <w:caps w:val="0"/>
          <w:sz w:val="28"/>
          <w:szCs w:val="28"/>
        </w:rPr>
      </w:pPr>
      <w:r>
        <w:fldChar w:fldCharType="begin"/>
      </w:r>
      <w:r>
        <w:instrText xml:space="preserve"> HYPERLINK \l "_Toc135004719" </w:instrText>
      </w:r>
      <w:r>
        <w:fldChar w:fldCharType="separate"/>
      </w:r>
      <w:r>
        <w:rPr>
          <w:rStyle w:val="22"/>
          <w:rFonts w:asciiTheme="minorEastAsia" w:hAnsiTheme="minorEastAsia" w:eastAsiaTheme="minorEastAsia"/>
          <w:sz w:val="28"/>
          <w:szCs w:val="28"/>
        </w:rPr>
        <w:t>三、整体绩效目标实现情况</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_Toc135004719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5"/>
        <w:spacing w:before="217" w:beforeLines="50"/>
        <w:rPr>
          <w:rFonts w:eastAsiaTheme="minorEastAsia" w:cstheme="minorBidi"/>
          <w:sz w:val="28"/>
          <w:szCs w:val="28"/>
        </w:rPr>
      </w:pPr>
      <w:r>
        <w:fldChar w:fldCharType="begin"/>
      </w:r>
      <w:r>
        <w:instrText xml:space="preserve"> HYPERLINK \l "_Toc135004720" </w:instrText>
      </w:r>
      <w:r>
        <w:fldChar w:fldCharType="separate"/>
      </w:r>
      <w:r>
        <w:rPr>
          <w:rStyle w:val="22"/>
          <w:sz w:val="28"/>
          <w:szCs w:val="28"/>
        </w:rPr>
        <w:t>（一）产出完成情况分析</w:t>
      </w:r>
      <w:r>
        <w:rPr>
          <w:sz w:val="28"/>
          <w:szCs w:val="28"/>
        </w:rPr>
        <w:tab/>
      </w:r>
      <w:r>
        <w:rPr>
          <w:sz w:val="28"/>
          <w:szCs w:val="28"/>
        </w:rPr>
        <w:fldChar w:fldCharType="begin"/>
      </w:r>
      <w:r>
        <w:rPr>
          <w:sz w:val="28"/>
          <w:szCs w:val="28"/>
        </w:rPr>
        <w:instrText xml:space="preserve"> PAGEREF _Toc135004720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5"/>
        <w:spacing w:before="217" w:beforeLines="50"/>
        <w:rPr>
          <w:rFonts w:eastAsiaTheme="minorEastAsia" w:cstheme="minorBidi"/>
          <w:sz w:val="28"/>
          <w:szCs w:val="28"/>
        </w:rPr>
      </w:pPr>
      <w:r>
        <w:fldChar w:fldCharType="begin"/>
      </w:r>
      <w:r>
        <w:instrText xml:space="preserve"> HYPERLINK \l "_Toc135004721" </w:instrText>
      </w:r>
      <w:r>
        <w:fldChar w:fldCharType="separate"/>
      </w:r>
      <w:r>
        <w:rPr>
          <w:rStyle w:val="22"/>
          <w:sz w:val="28"/>
          <w:szCs w:val="28"/>
        </w:rPr>
        <w:t>（二）效果实现情况分析</w:t>
      </w:r>
      <w:r>
        <w:rPr>
          <w:sz w:val="28"/>
          <w:szCs w:val="28"/>
        </w:rPr>
        <w:tab/>
      </w:r>
      <w:r>
        <w:rPr>
          <w:sz w:val="28"/>
          <w:szCs w:val="28"/>
        </w:rPr>
        <w:fldChar w:fldCharType="begin"/>
      </w:r>
      <w:r>
        <w:rPr>
          <w:sz w:val="28"/>
          <w:szCs w:val="28"/>
        </w:rPr>
        <w:instrText xml:space="preserve"> PAGEREF _Toc135004721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2"/>
        <w:tabs>
          <w:tab w:val="right" w:leader="dot" w:pos="8296"/>
        </w:tabs>
        <w:spacing w:before="217" w:beforeLines="50"/>
        <w:rPr>
          <w:rStyle w:val="22"/>
          <w:rFonts w:asciiTheme="minorEastAsia" w:hAnsiTheme="minorEastAsia"/>
          <w:sz w:val="28"/>
          <w:szCs w:val="28"/>
        </w:rPr>
      </w:pPr>
      <w:r>
        <w:fldChar w:fldCharType="begin"/>
      </w:r>
      <w:r>
        <w:instrText xml:space="preserve"> HYPERLINK \l "_Toc135004722" </w:instrText>
      </w:r>
      <w:r>
        <w:fldChar w:fldCharType="separate"/>
      </w:r>
      <w:r>
        <w:rPr>
          <w:rStyle w:val="22"/>
          <w:rFonts w:asciiTheme="minorEastAsia" w:hAnsiTheme="minorEastAsia" w:eastAsiaTheme="minorEastAsia"/>
          <w:sz w:val="28"/>
          <w:szCs w:val="28"/>
        </w:rPr>
        <w:t>四、预算管理情况分析</w:t>
      </w:r>
      <w:r>
        <w:rPr>
          <w:rStyle w:val="22"/>
          <w:rFonts w:asciiTheme="minorEastAsia" w:hAnsiTheme="minorEastAsia" w:eastAsiaTheme="minorEastAsia"/>
          <w:sz w:val="28"/>
          <w:szCs w:val="28"/>
        </w:rPr>
        <w:tab/>
      </w:r>
      <w:r>
        <w:rPr>
          <w:rStyle w:val="22"/>
          <w:rFonts w:asciiTheme="minorEastAsia" w:hAnsiTheme="minorEastAsia" w:eastAsiaTheme="minorEastAsia"/>
          <w:sz w:val="28"/>
          <w:szCs w:val="28"/>
        </w:rPr>
        <w:fldChar w:fldCharType="begin"/>
      </w:r>
      <w:r>
        <w:rPr>
          <w:rStyle w:val="22"/>
          <w:rFonts w:asciiTheme="minorEastAsia" w:hAnsiTheme="minorEastAsia" w:eastAsiaTheme="minorEastAsia"/>
          <w:sz w:val="28"/>
          <w:szCs w:val="28"/>
        </w:rPr>
        <w:instrText xml:space="preserve"> PAGEREF _Toc135004722 \h </w:instrText>
      </w:r>
      <w:r>
        <w:rPr>
          <w:rStyle w:val="22"/>
          <w:rFonts w:asciiTheme="minorEastAsia" w:hAnsiTheme="minorEastAsia" w:eastAsiaTheme="minorEastAsia"/>
          <w:sz w:val="28"/>
          <w:szCs w:val="28"/>
        </w:rPr>
        <w:fldChar w:fldCharType="separate"/>
      </w:r>
      <w:r>
        <w:rPr>
          <w:rStyle w:val="22"/>
          <w:rFonts w:asciiTheme="minorEastAsia" w:hAnsiTheme="minorEastAsia" w:eastAsiaTheme="minorEastAsia"/>
          <w:sz w:val="28"/>
          <w:szCs w:val="28"/>
        </w:rPr>
        <w:t>6</w:t>
      </w:r>
      <w:r>
        <w:rPr>
          <w:rStyle w:val="22"/>
          <w:rFonts w:asciiTheme="minorEastAsia" w:hAnsiTheme="minorEastAsia" w:eastAsiaTheme="minorEastAsia"/>
          <w:sz w:val="28"/>
          <w:szCs w:val="28"/>
        </w:rPr>
        <w:fldChar w:fldCharType="end"/>
      </w:r>
      <w:r>
        <w:rPr>
          <w:rStyle w:val="22"/>
          <w:rFonts w:asciiTheme="minorEastAsia" w:hAnsiTheme="minorEastAsia" w:eastAsiaTheme="minorEastAsia"/>
          <w:sz w:val="28"/>
          <w:szCs w:val="28"/>
        </w:rPr>
        <w:fldChar w:fldCharType="end"/>
      </w:r>
    </w:p>
    <w:p>
      <w:pPr>
        <w:pStyle w:val="15"/>
        <w:spacing w:before="217" w:beforeLines="50"/>
        <w:rPr>
          <w:rFonts w:eastAsiaTheme="minorEastAsia" w:cstheme="minorBidi"/>
          <w:sz w:val="32"/>
          <w:szCs w:val="22"/>
        </w:rPr>
      </w:pPr>
      <w:r>
        <w:fldChar w:fldCharType="begin"/>
      </w:r>
      <w:r>
        <w:instrText xml:space="preserve"> HYPERLINK \l "_Toc135004723" </w:instrText>
      </w:r>
      <w:r>
        <w:fldChar w:fldCharType="separate"/>
      </w:r>
      <w:r>
        <w:rPr>
          <w:rStyle w:val="22"/>
          <w:sz w:val="28"/>
        </w:rPr>
        <w:t>（一）财务管理</w:t>
      </w:r>
      <w:r>
        <w:rPr>
          <w:sz w:val="28"/>
        </w:rPr>
        <w:tab/>
      </w:r>
      <w:r>
        <w:rPr>
          <w:sz w:val="28"/>
        </w:rPr>
        <w:fldChar w:fldCharType="begin"/>
      </w:r>
      <w:r>
        <w:rPr>
          <w:sz w:val="28"/>
        </w:rPr>
        <w:instrText xml:space="preserve"> PAGEREF _Toc135004723 \h </w:instrText>
      </w:r>
      <w:r>
        <w:rPr>
          <w:sz w:val="28"/>
        </w:rPr>
        <w:fldChar w:fldCharType="separate"/>
      </w:r>
      <w:r>
        <w:rPr>
          <w:sz w:val="28"/>
        </w:rPr>
        <w:t>7</w:t>
      </w:r>
      <w:r>
        <w:rPr>
          <w:sz w:val="28"/>
        </w:rPr>
        <w:fldChar w:fldCharType="end"/>
      </w:r>
      <w:r>
        <w:rPr>
          <w:sz w:val="28"/>
        </w:rPr>
        <w:fldChar w:fldCharType="end"/>
      </w:r>
    </w:p>
    <w:p>
      <w:pPr>
        <w:pStyle w:val="15"/>
        <w:spacing w:before="217" w:beforeLines="50"/>
        <w:rPr>
          <w:rFonts w:eastAsiaTheme="minorEastAsia" w:cstheme="minorBidi"/>
          <w:sz w:val="32"/>
          <w:szCs w:val="22"/>
        </w:rPr>
      </w:pPr>
      <w:r>
        <w:fldChar w:fldCharType="begin"/>
      </w:r>
      <w:r>
        <w:instrText xml:space="preserve"> HYPERLINK \l "_Toc135004724" </w:instrText>
      </w:r>
      <w:r>
        <w:fldChar w:fldCharType="separate"/>
      </w:r>
      <w:r>
        <w:rPr>
          <w:rStyle w:val="22"/>
          <w:sz w:val="28"/>
        </w:rPr>
        <w:t>（二）资产管理</w:t>
      </w:r>
      <w:r>
        <w:rPr>
          <w:sz w:val="28"/>
        </w:rPr>
        <w:tab/>
      </w:r>
      <w:r>
        <w:rPr>
          <w:sz w:val="28"/>
        </w:rPr>
        <w:fldChar w:fldCharType="begin"/>
      </w:r>
      <w:r>
        <w:rPr>
          <w:sz w:val="28"/>
        </w:rPr>
        <w:instrText xml:space="preserve"> PAGEREF _Toc135004724 \h </w:instrText>
      </w:r>
      <w:r>
        <w:rPr>
          <w:sz w:val="28"/>
        </w:rPr>
        <w:fldChar w:fldCharType="separate"/>
      </w:r>
      <w:r>
        <w:rPr>
          <w:sz w:val="28"/>
        </w:rPr>
        <w:t>8</w:t>
      </w:r>
      <w:r>
        <w:rPr>
          <w:sz w:val="28"/>
        </w:rPr>
        <w:fldChar w:fldCharType="end"/>
      </w:r>
      <w:r>
        <w:rPr>
          <w:sz w:val="28"/>
        </w:rPr>
        <w:fldChar w:fldCharType="end"/>
      </w:r>
    </w:p>
    <w:p>
      <w:pPr>
        <w:pStyle w:val="15"/>
        <w:spacing w:before="217" w:beforeLines="50"/>
        <w:rPr>
          <w:rFonts w:eastAsiaTheme="minorEastAsia" w:cstheme="minorBidi"/>
          <w:sz w:val="32"/>
          <w:szCs w:val="22"/>
        </w:rPr>
      </w:pPr>
      <w:r>
        <w:fldChar w:fldCharType="begin"/>
      </w:r>
      <w:r>
        <w:instrText xml:space="preserve"> HYPERLINK \l "_Toc135004725" </w:instrText>
      </w:r>
      <w:r>
        <w:fldChar w:fldCharType="separate"/>
      </w:r>
      <w:r>
        <w:rPr>
          <w:rStyle w:val="22"/>
          <w:sz w:val="28"/>
        </w:rPr>
        <w:t>（三）绩效管理</w:t>
      </w:r>
      <w:r>
        <w:rPr>
          <w:sz w:val="28"/>
        </w:rPr>
        <w:tab/>
      </w:r>
      <w:r>
        <w:rPr>
          <w:sz w:val="28"/>
        </w:rPr>
        <w:fldChar w:fldCharType="begin"/>
      </w:r>
      <w:r>
        <w:rPr>
          <w:sz w:val="28"/>
        </w:rPr>
        <w:instrText xml:space="preserve"> PAGEREF _Toc135004725 \h </w:instrText>
      </w:r>
      <w:r>
        <w:rPr>
          <w:sz w:val="28"/>
        </w:rPr>
        <w:fldChar w:fldCharType="separate"/>
      </w:r>
      <w:r>
        <w:rPr>
          <w:sz w:val="28"/>
        </w:rPr>
        <w:t>9</w:t>
      </w:r>
      <w:r>
        <w:rPr>
          <w:sz w:val="28"/>
        </w:rPr>
        <w:fldChar w:fldCharType="end"/>
      </w:r>
      <w:r>
        <w:rPr>
          <w:sz w:val="28"/>
        </w:rPr>
        <w:fldChar w:fldCharType="end"/>
      </w:r>
    </w:p>
    <w:p>
      <w:pPr>
        <w:pStyle w:val="15"/>
        <w:spacing w:before="217" w:beforeLines="50"/>
        <w:rPr>
          <w:rFonts w:eastAsiaTheme="minorEastAsia" w:cstheme="minorBidi"/>
          <w:sz w:val="32"/>
          <w:szCs w:val="22"/>
        </w:rPr>
      </w:pPr>
      <w:r>
        <w:fldChar w:fldCharType="begin"/>
      </w:r>
      <w:r>
        <w:instrText xml:space="preserve"> HYPERLINK \l "_Toc135004726" </w:instrText>
      </w:r>
      <w:r>
        <w:fldChar w:fldCharType="separate"/>
      </w:r>
      <w:r>
        <w:rPr>
          <w:rStyle w:val="22"/>
          <w:sz w:val="28"/>
        </w:rPr>
        <w:t>（四）结转结余率</w:t>
      </w:r>
      <w:r>
        <w:rPr>
          <w:sz w:val="28"/>
        </w:rPr>
        <w:tab/>
      </w:r>
      <w:r>
        <w:rPr>
          <w:sz w:val="28"/>
        </w:rPr>
        <w:fldChar w:fldCharType="begin"/>
      </w:r>
      <w:r>
        <w:rPr>
          <w:sz w:val="28"/>
        </w:rPr>
        <w:instrText xml:space="preserve"> PAGEREF _Toc135004726 \h </w:instrText>
      </w:r>
      <w:r>
        <w:rPr>
          <w:sz w:val="28"/>
        </w:rPr>
        <w:fldChar w:fldCharType="separate"/>
      </w:r>
      <w:r>
        <w:rPr>
          <w:sz w:val="28"/>
        </w:rPr>
        <w:t>10</w:t>
      </w:r>
      <w:r>
        <w:rPr>
          <w:sz w:val="28"/>
        </w:rPr>
        <w:fldChar w:fldCharType="end"/>
      </w:r>
      <w:r>
        <w:rPr>
          <w:sz w:val="28"/>
        </w:rPr>
        <w:fldChar w:fldCharType="end"/>
      </w:r>
    </w:p>
    <w:p>
      <w:pPr>
        <w:pStyle w:val="15"/>
        <w:spacing w:before="217" w:beforeLines="50"/>
        <w:rPr>
          <w:rFonts w:eastAsiaTheme="minorEastAsia" w:cstheme="minorBidi"/>
          <w:sz w:val="32"/>
          <w:szCs w:val="22"/>
        </w:rPr>
      </w:pPr>
      <w:r>
        <w:fldChar w:fldCharType="begin"/>
      </w:r>
      <w:r>
        <w:instrText xml:space="preserve"> HYPERLINK \l "_Toc135004727" </w:instrText>
      </w:r>
      <w:r>
        <w:fldChar w:fldCharType="separate"/>
      </w:r>
      <w:r>
        <w:rPr>
          <w:rStyle w:val="22"/>
          <w:sz w:val="28"/>
        </w:rPr>
        <w:t>（五）部门预决算差异率</w:t>
      </w:r>
      <w:r>
        <w:rPr>
          <w:sz w:val="28"/>
        </w:rPr>
        <w:tab/>
      </w:r>
      <w:r>
        <w:rPr>
          <w:sz w:val="28"/>
        </w:rPr>
        <w:fldChar w:fldCharType="begin"/>
      </w:r>
      <w:r>
        <w:rPr>
          <w:sz w:val="28"/>
        </w:rPr>
        <w:instrText xml:space="preserve"> PAGEREF _Toc135004727 \h </w:instrText>
      </w:r>
      <w:r>
        <w:rPr>
          <w:sz w:val="28"/>
        </w:rPr>
        <w:fldChar w:fldCharType="separate"/>
      </w:r>
      <w:r>
        <w:rPr>
          <w:sz w:val="28"/>
        </w:rPr>
        <w:t>10</w:t>
      </w:r>
      <w:r>
        <w:rPr>
          <w:sz w:val="28"/>
        </w:rPr>
        <w:fldChar w:fldCharType="end"/>
      </w:r>
      <w:r>
        <w:rPr>
          <w:sz w:val="28"/>
        </w:rPr>
        <w:fldChar w:fldCharType="end"/>
      </w:r>
    </w:p>
    <w:p>
      <w:pPr>
        <w:pStyle w:val="12"/>
        <w:tabs>
          <w:tab w:val="right" w:leader="dot" w:pos="8296"/>
        </w:tabs>
        <w:spacing w:before="217" w:beforeLines="50"/>
        <w:rPr>
          <w:rStyle w:val="22"/>
          <w:rFonts w:asciiTheme="minorEastAsia" w:hAnsiTheme="minorEastAsia"/>
          <w:sz w:val="28"/>
          <w:szCs w:val="28"/>
        </w:rPr>
      </w:pPr>
      <w:r>
        <w:fldChar w:fldCharType="begin"/>
      </w:r>
      <w:r>
        <w:instrText xml:space="preserve"> HYPERLINK \l "_Toc135004728" </w:instrText>
      </w:r>
      <w:r>
        <w:fldChar w:fldCharType="separate"/>
      </w:r>
      <w:r>
        <w:rPr>
          <w:rStyle w:val="22"/>
          <w:rFonts w:asciiTheme="minorEastAsia" w:hAnsiTheme="minorEastAsia" w:eastAsiaTheme="minorEastAsia"/>
          <w:sz w:val="28"/>
          <w:szCs w:val="28"/>
        </w:rPr>
        <w:t>五、总体评价结论</w:t>
      </w:r>
      <w:r>
        <w:rPr>
          <w:rStyle w:val="22"/>
          <w:rFonts w:asciiTheme="minorEastAsia" w:hAnsiTheme="minorEastAsia" w:eastAsiaTheme="minorEastAsia"/>
          <w:sz w:val="28"/>
          <w:szCs w:val="28"/>
        </w:rPr>
        <w:tab/>
      </w:r>
      <w:r>
        <w:rPr>
          <w:rStyle w:val="22"/>
          <w:rFonts w:asciiTheme="minorEastAsia" w:hAnsiTheme="minorEastAsia" w:eastAsiaTheme="minorEastAsia"/>
          <w:sz w:val="28"/>
          <w:szCs w:val="28"/>
        </w:rPr>
        <w:fldChar w:fldCharType="begin"/>
      </w:r>
      <w:r>
        <w:rPr>
          <w:rStyle w:val="22"/>
          <w:rFonts w:asciiTheme="minorEastAsia" w:hAnsiTheme="minorEastAsia" w:eastAsiaTheme="minorEastAsia"/>
          <w:sz w:val="28"/>
          <w:szCs w:val="28"/>
        </w:rPr>
        <w:instrText xml:space="preserve"> PAGEREF _Toc135004728 \h </w:instrText>
      </w:r>
      <w:r>
        <w:rPr>
          <w:rStyle w:val="22"/>
          <w:rFonts w:asciiTheme="minorEastAsia" w:hAnsiTheme="minorEastAsia" w:eastAsiaTheme="minorEastAsia"/>
          <w:sz w:val="28"/>
          <w:szCs w:val="28"/>
        </w:rPr>
        <w:fldChar w:fldCharType="separate"/>
      </w:r>
      <w:r>
        <w:rPr>
          <w:rStyle w:val="22"/>
          <w:rFonts w:asciiTheme="minorEastAsia" w:hAnsiTheme="minorEastAsia" w:eastAsiaTheme="minorEastAsia"/>
          <w:sz w:val="28"/>
          <w:szCs w:val="28"/>
        </w:rPr>
        <w:t>10</w:t>
      </w:r>
      <w:r>
        <w:rPr>
          <w:rStyle w:val="22"/>
          <w:rFonts w:asciiTheme="minorEastAsia" w:hAnsiTheme="minorEastAsia" w:eastAsiaTheme="minorEastAsia"/>
          <w:sz w:val="28"/>
          <w:szCs w:val="28"/>
        </w:rPr>
        <w:fldChar w:fldCharType="end"/>
      </w:r>
      <w:r>
        <w:rPr>
          <w:rStyle w:val="22"/>
          <w:rFonts w:asciiTheme="minorEastAsia" w:hAnsiTheme="minorEastAsia" w:eastAsiaTheme="minorEastAsia"/>
          <w:sz w:val="28"/>
          <w:szCs w:val="28"/>
        </w:rPr>
        <w:fldChar w:fldCharType="end"/>
      </w:r>
    </w:p>
    <w:p>
      <w:pPr>
        <w:pStyle w:val="15"/>
        <w:spacing w:before="217" w:beforeLines="50"/>
        <w:rPr>
          <w:rFonts w:eastAsiaTheme="minorEastAsia" w:cstheme="minorBidi"/>
          <w:sz w:val="32"/>
          <w:szCs w:val="22"/>
        </w:rPr>
      </w:pPr>
      <w:r>
        <w:fldChar w:fldCharType="begin"/>
      </w:r>
      <w:r>
        <w:instrText xml:space="preserve"> HYPERLINK \l "_Toc135004729" </w:instrText>
      </w:r>
      <w:r>
        <w:fldChar w:fldCharType="separate"/>
      </w:r>
      <w:r>
        <w:rPr>
          <w:rStyle w:val="22"/>
          <w:sz w:val="28"/>
        </w:rPr>
        <w:t>（一）评价得分情况</w:t>
      </w:r>
      <w:r>
        <w:rPr>
          <w:sz w:val="28"/>
        </w:rPr>
        <w:tab/>
      </w:r>
      <w:r>
        <w:rPr>
          <w:sz w:val="28"/>
        </w:rPr>
        <w:fldChar w:fldCharType="begin"/>
      </w:r>
      <w:r>
        <w:rPr>
          <w:sz w:val="28"/>
        </w:rPr>
        <w:instrText xml:space="preserve"> PAGEREF _Toc135004729 \h </w:instrText>
      </w:r>
      <w:r>
        <w:rPr>
          <w:sz w:val="28"/>
        </w:rPr>
        <w:fldChar w:fldCharType="separate"/>
      </w:r>
      <w:r>
        <w:rPr>
          <w:sz w:val="28"/>
        </w:rPr>
        <w:t>10</w:t>
      </w:r>
      <w:r>
        <w:rPr>
          <w:sz w:val="28"/>
        </w:rPr>
        <w:fldChar w:fldCharType="end"/>
      </w:r>
      <w:r>
        <w:rPr>
          <w:sz w:val="28"/>
        </w:rPr>
        <w:fldChar w:fldCharType="end"/>
      </w:r>
    </w:p>
    <w:p>
      <w:pPr>
        <w:pStyle w:val="15"/>
        <w:spacing w:before="217" w:beforeLines="50"/>
        <w:rPr>
          <w:rFonts w:eastAsiaTheme="minorEastAsia" w:cstheme="minorBidi"/>
          <w:sz w:val="32"/>
          <w:szCs w:val="22"/>
        </w:rPr>
      </w:pPr>
      <w:r>
        <w:fldChar w:fldCharType="begin"/>
      </w:r>
      <w:r>
        <w:instrText xml:space="preserve"> HYPERLINK \l "_Toc135004730" </w:instrText>
      </w:r>
      <w:r>
        <w:fldChar w:fldCharType="separate"/>
      </w:r>
      <w:r>
        <w:rPr>
          <w:rStyle w:val="22"/>
          <w:sz w:val="28"/>
        </w:rPr>
        <w:t>（二）存在的问题及原因分析</w:t>
      </w:r>
      <w:r>
        <w:rPr>
          <w:sz w:val="28"/>
        </w:rPr>
        <w:tab/>
      </w:r>
      <w:r>
        <w:rPr>
          <w:sz w:val="28"/>
        </w:rPr>
        <w:fldChar w:fldCharType="begin"/>
      </w:r>
      <w:r>
        <w:rPr>
          <w:sz w:val="28"/>
        </w:rPr>
        <w:instrText xml:space="preserve"> PAGEREF _Toc135004730 \h </w:instrText>
      </w:r>
      <w:r>
        <w:rPr>
          <w:sz w:val="28"/>
        </w:rPr>
        <w:fldChar w:fldCharType="separate"/>
      </w:r>
      <w:r>
        <w:rPr>
          <w:sz w:val="28"/>
        </w:rPr>
        <w:t>11</w:t>
      </w:r>
      <w:r>
        <w:rPr>
          <w:sz w:val="28"/>
        </w:rPr>
        <w:fldChar w:fldCharType="end"/>
      </w:r>
      <w:r>
        <w:rPr>
          <w:sz w:val="28"/>
        </w:rPr>
        <w:fldChar w:fldCharType="end"/>
      </w:r>
    </w:p>
    <w:p>
      <w:pPr>
        <w:pStyle w:val="12"/>
        <w:tabs>
          <w:tab w:val="right" w:leader="dot" w:pos="8296"/>
        </w:tabs>
        <w:spacing w:before="217" w:beforeLines="50"/>
        <w:rPr>
          <w:rStyle w:val="22"/>
          <w:rFonts w:asciiTheme="minorEastAsia" w:hAnsiTheme="minorEastAsia"/>
          <w:sz w:val="28"/>
          <w:szCs w:val="28"/>
        </w:rPr>
      </w:pPr>
      <w:r>
        <w:fldChar w:fldCharType="begin"/>
      </w:r>
      <w:r>
        <w:instrText xml:space="preserve"> HYPERLINK \l "_Toc135004731" </w:instrText>
      </w:r>
      <w:r>
        <w:fldChar w:fldCharType="separate"/>
      </w:r>
      <w:r>
        <w:rPr>
          <w:rStyle w:val="22"/>
          <w:rFonts w:asciiTheme="minorEastAsia" w:hAnsiTheme="minorEastAsia" w:eastAsiaTheme="minorEastAsia"/>
          <w:sz w:val="28"/>
          <w:szCs w:val="28"/>
        </w:rPr>
        <w:t>六、措施建议</w:t>
      </w:r>
      <w:r>
        <w:rPr>
          <w:rStyle w:val="22"/>
          <w:rFonts w:asciiTheme="minorEastAsia" w:hAnsiTheme="minorEastAsia" w:eastAsiaTheme="minorEastAsia"/>
          <w:sz w:val="28"/>
          <w:szCs w:val="28"/>
        </w:rPr>
        <w:tab/>
      </w:r>
      <w:r>
        <w:rPr>
          <w:rStyle w:val="22"/>
          <w:rFonts w:asciiTheme="minorEastAsia" w:hAnsiTheme="minorEastAsia" w:eastAsiaTheme="minorEastAsia"/>
          <w:sz w:val="28"/>
          <w:szCs w:val="28"/>
        </w:rPr>
        <w:fldChar w:fldCharType="begin"/>
      </w:r>
      <w:r>
        <w:rPr>
          <w:rStyle w:val="22"/>
          <w:rFonts w:asciiTheme="minorEastAsia" w:hAnsiTheme="minorEastAsia" w:eastAsiaTheme="minorEastAsia"/>
          <w:sz w:val="28"/>
          <w:szCs w:val="28"/>
        </w:rPr>
        <w:instrText xml:space="preserve"> PAGEREF _Toc135004731 \h </w:instrText>
      </w:r>
      <w:r>
        <w:rPr>
          <w:rStyle w:val="22"/>
          <w:rFonts w:asciiTheme="minorEastAsia" w:hAnsiTheme="minorEastAsia" w:eastAsiaTheme="minorEastAsia"/>
          <w:sz w:val="28"/>
          <w:szCs w:val="28"/>
        </w:rPr>
        <w:fldChar w:fldCharType="separate"/>
      </w:r>
      <w:r>
        <w:rPr>
          <w:rStyle w:val="22"/>
          <w:rFonts w:asciiTheme="minorEastAsia" w:hAnsiTheme="minorEastAsia" w:eastAsiaTheme="minorEastAsia"/>
          <w:sz w:val="28"/>
          <w:szCs w:val="28"/>
        </w:rPr>
        <w:t>11</w:t>
      </w:r>
      <w:r>
        <w:rPr>
          <w:rStyle w:val="22"/>
          <w:rFonts w:asciiTheme="minorEastAsia" w:hAnsiTheme="minorEastAsia" w:eastAsiaTheme="minorEastAsia"/>
          <w:sz w:val="28"/>
          <w:szCs w:val="28"/>
        </w:rPr>
        <w:fldChar w:fldCharType="end"/>
      </w:r>
      <w:r>
        <w:rPr>
          <w:rStyle w:val="22"/>
          <w:rFonts w:asciiTheme="minorEastAsia" w:hAnsiTheme="minorEastAsia" w:eastAsiaTheme="minorEastAsia"/>
          <w:sz w:val="28"/>
          <w:szCs w:val="28"/>
        </w:rPr>
        <w:fldChar w:fldCharType="end"/>
      </w:r>
    </w:p>
    <w:p>
      <w:pPr>
        <w:pStyle w:val="12"/>
        <w:tabs>
          <w:tab w:val="right" w:leader="dot" w:pos="8296"/>
        </w:tabs>
        <w:spacing w:before="217" w:beforeLines="50"/>
        <w:rPr>
          <w:rStyle w:val="22"/>
          <w:rFonts w:asciiTheme="minorEastAsia" w:hAnsiTheme="minorEastAsia"/>
          <w:sz w:val="28"/>
          <w:szCs w:val="28"/>
        </w:rPr>
      </w:pPr>
      <w:r>
        <w:fldChar w:fldCharType="begin"/>
      </w:r>
      <w:r>
        <w:instrText xml:space="preserve"> HYPERLINK \l "_Toc135004732" </w:instrText>
      </w:r>
      <w:r>
        <w:fldChar w:fldCharType="separate"/>
      </w:r>
      <w:r>
        <w:rPr>
          <w:rStyle w:val="22"/>
          <w:rFonts w:asciiTheme="minorEastAsia" w:hAnsiTheme="minorEastAsia" w:eastAsiaTheme="minorEastAsia"/>
          <w:sz w:val="28"/>
          <w:szCs w:val="28"/>
        </w:rPr>
        <w:t>七、附件</w:t>
      </w:r>
      <w:r>
        <w:rPr>
          <w:rStyle w:val="22"/>
          <w:rFonts w:asciiTheme="minorEastAsia" w:hAnsiTheme="minorEastAsia" w:eastAsiaTheme="minorEastAsia"/>
          <w:sz w:val="28"/>
          <w:szCs w:val="28"/>
        </w:rPr>
        <w:tab/>
      </w:r>
      <w:r>
        <w:rPr>
          <w:rStyle w:val="22"/>
          <w:rFonts w:asciiTheme="minorEastAsia" w:hAnsiTheme="minorEastAsia" w:eastAsiaTheme="minorEastAsia"/>
          <w:sz w:val="28"/>
          <w:szCs w:val="28"/>
        </w:rPr>
        <w:fldChar w:fldCharType="begin"/>
      </w:r>
      <w:r>
        <w:rPr>
          <w:rStyle w:val="22"/>
          <w:rFonts w:asciiTheme="minorEastAsia" w:hAnsiTheme="minorEastAsia" w:eastAsiaTheme="minorEastAsia"/>
          <w:sz w:val="28"/>
          <w:szCs w:val="28"/>
        </w:rPr>
        <w:instrText xml:space="preserve"> PAGEREF _Toc135004732 \h </w:instrText>
      </w:r>
      <w:r>
        <w:rPr>
          <w:rStyle w:val="22"/>
          <w:rFonts w:asciiTheme="minorEastAsia" w:hAnsiTheme="minorEastAsia" w:eastAsiaTheme="minorEastAsia"/>
          <w:sz w:val="28"/>
          <w:szCs w:val="28"/>
        </w:rPr>
        <w:fldChar w:fldCharType="separate"/>
      </w:r>
      <w:r>
        <w:rPr>
          <w:rStyle w:val="22"/>
          <w:rFonts w:asciiTheme="minorEastAsia" w:hAnsiTheme="minorEastAsia" w:eastAsiaTheme="minorEastAsia"/>
          <w:sz w:val="28"/>
          <w:szCs w:val="28"/>
        </w:rPr>
        <w:t>11</w:t>
      </w:r>
      <w:r>
        <w:rPr>
          <w:rStyle w:val="22"/>
          <w:rFonts w:asciiTheme="minorEastAsia" w:hAnsiTheme="minorEastAsia" w:eastAsiaTheme="minorEastAsia"/>
          <w:sz w:val="28"/>
          <w:szCs w:val="28"/>
        </w:rPr>
        <w:fldChar w:fldCharType="end"/>
      </w:r>
      <w:r>
        <w:rPr>
          <w:rStyle w:val="22"/>
          <w:rFonts w:asciiTheme="minorEastAsia" w:hAnsiTheme="minorEastAsia" w:eastAsiaTheme="minorEastAsia"/>
          <w:sz w:val="28"/>
          <w:szCs w:val="28"/>
        </w:rPr>
        <w:fldChar w:fldCharType="end"/>
      </w:r>
    </w:p>
    <w:p>
      <w:pPr>
        <w:spacing w:line="560" w:lineRule="exact"/>
        <w:jc w:val="center"/>
        <w:rPr>
          <w:rFonts w:ascii="方正小标宋简体" w:eastAsia="方正小标宋简体"/>
          <w:sz w:val="36"/>
          <w:szCs w:val="36"/>
        </w:rPr>
      </w:pPr>
      <w:r>
        <w:rPr>
          <w:rFonts w:ascii="方正小标宋简体" w:eastAsia="方正小标宋简体"/>
          <w:sz w:val="36"/>
          <w:szCs w:val="36"/>
        </w:rPr>
        <w:fldChar w:fldCharType="end"/>
      </w:r>
    </w:p>
    <w:p>
      <w:pPr>
        <w:spacing w:line="560" w:lineRule="exact"/>
        <w:jc w:val="center"/>
        <w:rPr>
          <w:rFonts w:ascii="方正小标宋简体" w:eastAsia="方正小标宋简体"/>
          <w:sz w:val="36"/>
          <w:szCs w:val="36"/>
        </w:rPr>
        <w:sectPr>
          <w:pgSz w:w="11906" w:h="16838"/>
          <w:pgMar w:top="1440" w:right="1800" w:bottom="1440" w:left="1800" w:header="851" w:footer="964" w:gutter="0"/>
          <w:pgNumType w:start="1"/>
          <w:cols w:space="425" w:num="1"/>
          <w:titlePg/>
          <w:docGrid w:type="lines" w:linePitch="435" w:charSpace="0"/>
        </w:sectPr>
      </w:pPr>
    </w:p>
    <w:p>
      <w:pPr>
        <w:spacing w:line="560" w:lineRule="exact"/>
        <w:jc w:val="center"/>
        <w:rPr>
          <w:rFonts w:ascii="宋体" w:hAnsi="宋体"/>
          <w:b/>
          <w:sz w:val="44"/>
          <w:szCs w:val="44"/>
        </w:rPr>
      </w:pPr>
      <w:r>
        <w:rPr>
          <w:rFonts w:hint="eastAsia" w:ascii="宋体" w:hAnsi="宋体"/>
          <w:b/>
          <w:sz w:val="44"/>
          <w:szCs w:val="44"/>
        </w:rPr>
        <w:t>中共北京市委统战部</w:t>
      </w:r>
    </w:p>
    <w:p>
      <w:pPr>
        <w:spacing w:line="560" w:lineRule="exact"/>
        <w:jc w:val="center"/>
        <w:rPr>
          <w:rFonts w:ascii="宋体" w:hAnsi="宋体"/>
          <w:b/>
          <w:sz w:val="44"/>
          <w:szCs w:val="44"/>
        </w:rPr>
      </w:pPr>
      <w:r>
        <w:rPr>
          <w:rFonts w:hint="eastAsia" w:ascii="宋体" w:hAnsi="宋体"/>
          <w:b/>
          <w:sz w:val="44"/>
          <w:szCs w:val="44"/>
        </w:rPr>
        <w:t>部门整体绩效评价报告</w:t>
      </w:r>
    </w:p>
    <w:p>
      <w:pPr>
        <w:spacing w:line="560" w:lineRule="exact"/>
        <w:jc w:val="right"/>
        <w:rPr>
          <w:rFonts w:ascii="仿宋" w:hAnsi="仿宋" w:eastAsia="仿宋" w:cs="仿宋"/>
          <w:sz w:val="24"/>
        </w:rPr>
      </w:pPr>
    </w:p>
    <w:p>
      <w:pPr>
        <w:spacing w:line="560" w:lineRule="exact"/>
        <w:jc w:val="right"/>
        <w:rPr>
          <w:rFonts w:hint="eastAsia" w:ascii="方正小标宋简体" w:eastAsia="方正小标宋简体"/>
          <w:sz w:val="36"/>
          <w:szCs w:val="36"/>
        </w:rPr>
      </w:pPr>
    </w:p>
    <w:p>
      <w:pPr>
        <w:pStyle w:val="2"/>
        <w:spacing w:before="217" w:after="217"/>
      </w:pPr>
      <w:bookmarkStart w:id="0" w:name="_Toc135004715"/>
      <w:r>
        <w:rPr>
          <w:rFonts w:hint="eastAsia"/>
        </w:rPr>
        <w:t>一、部门概况</w:t>
      </w:r>
      <w:bookmarkEnd w:id="0"/>
    </w:p>
    <w:p>
      <w:pPr>
        <w:pStyle w:val="3"/>
        <w:ind w:firstLine="643"/>
      </w:pPr>
      <w:bookmarkStart w:id="1" w:name="_Toc135004716"/>
      <w:r>
        <w:rPr>
          <w:rFonts w:hint="eastAsia"/>
        </w:rPr>
        <w:t>（一）机构设置及职责工作任务情况</w:t>
      </w:r>
      <w:bookmarkEnd w:id="1"/>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机构设置情况</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根据中共中央、国务院批准的《北京市机构改革方案》和中共北京市委办公厅关于印发《中共北京市委统一战线工作部职能配置、内设机构和人员编制规定》的通知(京办字[2018]21号)，设置中共北京市委统一战线工作部(简称市委统战部)，对外保留北京市人民政府侨务办公室(简称市政府侨办)牌子。市委统战部内设16个处室，分别为办公室、综合协调处、研究室(政策法规处)、宣传处、党外干部处、民主党派工作处、民族宗教工作处、港澳台统战工作处、非公有制经济工作处、无党派人士和党外知识分子工作处、新的社会阶层人士统战工作处、侨务综合处、侨务政务处、侨务事务处、干部处、机关党委(党建工作处)。本部门包含两家预算单位：中共北京市委统战部本级、北京市党派团体综合服务中心。  </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中共北京市委统战部行政编制126人，事业编制51人，实有人数共计163人；聘用人员10人。实有人数比上年减少5人，有退休和调职人员。离退休人员6</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人，其中：离休9人，退休59人。</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 xml:space="preserve">职责工作任务情况                   </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中共北京市委统战部是市委负责全市统一战线工作的职能部门。主要职责是：</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（1）贯彻执行中央、市委关于统一战线的方针、政策；调查研究我市统一战线工作情况，制定全市统战工作规划及有关政策性措施；就统战工作向市委反映情况，提出意见和建议。</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负责联系我市各民主党派和有关人民团体、无党派代表人士；贯彻执行中国共产党领导的多党合作和政治协商制度及对民主党派的方针、政策；落实民主党派参政议政和民主监督的工作；支持、帮助各民主党派加强自身建设。</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贯彻执行党的民族宗教工作的方针政策；联系我市少数民族和宗教界的代表人物；帮助有关部门加强少数民族和宗教界代表人士的队伍建设；调查研究和协调检查我市各部门贯彻执行中央关于民族、宗教工作方针、政策的情况；研究提出做好我市少数民族干部的培养、选拔和推荐工作的意见。</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（4）贯彻执行党的海外统战工作的方针、政策；负责联系港澳台和海外有关社团及代表人士，开展以祖国统一为重点的海外统战工作；负责台胞定居工作。</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做好本市党外代表人士的政治安排；研究提出做好推荐党外人士担任本市政府及司法部门局级行政领导职务工作的意见；协助组织部门做好本市党外局级后备干部队伍的建设工作，培养社会各界新的代表人物。</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（6）加强对市工商联党组的领导，做好本市非公有制经济和新阶层代表人士工作，调查反映情况，协调关系，提出政策性建议。</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（7）研究提出我市党外知识分子工作的意见和建议；贯彻落实中央关于党外知识分子的方针政策；调查研究并反映我市党外知识分子的情况，协调关系，联系并培养党外知识分子代表人士。</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（8）负责指导我市各部门党委的统战工作；培训统战干部，加强统战干部队伍建设；研究提出加强全市统战干部队伍建设的意见；指导全市开展统战理论、方针、政策的学习、研究和宣传。</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按照干部管理权限和分工，负责市民委（宗教局）、侨办、参事室(文史馆)、工商联、侨联、台联等单位领导班子建设、党风廉政建设、精神文明建设、后备干部队伍建设及老干部工作；领导市黄埔军校同学会。</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r>
        <w:rPr>
          <w:rFonts w:ascii="仿宋_GB2312" w:hAnsi="宋体" w:eastAsia="仿宋_GB2312" w:cs="宋体"/>
          <w:color w:val="000000"/>
          <w:kern w:val="0"/>
          <w:sz w:val="32"/>
          <w:szCs w:val="32"/>
        </w:rPr>
        <w:t>0</w:t>
      </w:r>
      <w:r>
        <w:rPr>
          <w:rFonts w:hint="eastAsia" w:ascii="仿宋_GB2312" w:hAnsi="宋体" w:eastAsia="仿宋_GB2312" w:cs="宋体"/>
          <w:color w:val="000000"/>
          <w:kern w:val="0"/>
          <w:sz w:val="32"/>
          <w:szCs w:val="32"/>
        </w:rPr>
        <w:t>）好部机关和市侨联、台联、工商联、黄埔军校同学会等机关中中共党员的教育、管理工作；指导其党的基层组织建设和工会、共青团工作。</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市委和中央统战部交办的其他工作。</w:t>
      </w:r>
    </w:p>
    <w:p>
      <w:pPr>
        <w:pStyle w:val="3"/>
        <w:ind w:firstLine="643"/>
      </w:pPr>
      <w:r>
        <w:rPr>
          <w:rFonts w:hint="eastAsia"/>
        </w:rPr>
        <w:t xml:space="preserve"> </w:t>
      </w:r>
      <w:bookmarkStart w:id="2" w:name="_Toc135004717"/>
      <w:r>
        <w:rPr>
          <w:rFonts w:hint="eastAsia"/>
        </w:rPr>
        <w:t>（二）部门整体绩效目标设立情况</w:t>
      </w:r>
      <w:bookmarkEnd w:id="2"/>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委统战部部门绩效目标是依据北京市委办公厅关于印发《中共北京市委统一战线工作部职能配置、内设机构和人员编制规定》的通知(京办字[2018]21号)确定的机构设置和主要职责，结合部内中长期规划、年度工作计划、政策要求以及年度主要工作任务设立，反映市委统战部使用部门预算资金在年度履职中预期达到的总体产出和效果。</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auto"/>
          <w:kern w:val="0"/>
          <w:sz w:val="32"/>
          <w:szCs w:val="32"/>
        </w:rPr>
        <w:t>目标设立从市统战系统培训、困侨补助、网上社院、欧美同学会活动、信息工作和调查研究</w:t>
      </w:r>
      <w:r>
        <w:rPr>
          <w:rFonts w:hint="eastAsia" w:ascii="仿宋_GB2312" w:hAnsi="宋体" w:eastAsia="仿宋_GB2312" w:cs="宋体"/>
          <w:color w:val="000000"/>
          <w:kern w:val="0"/>
          <w:sz w:val="32"/>
          <w:szCs w:val="32"/>
        </w:rPr>
        <w:t>等方面出发，旨在以习近平新时代中国特色社会主义思想为指导，全面贯彻党的二十大精神，深入贯彻习近平总书记关于做好新时代党的统一战线工作的重要思想和对北京一系列重要讲话精神，弘扬伟大建党精神，深入贯彻落实《中国共产党统一战线工作条例》，按照全国统战部长会议和市委统战工作领导小组全体会议要求，不断提高统战工作能力水平，维护统一战线团结和谐，推动首都统战工作高质量发展。</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市委统战部2</w:t>
      </w:r>
      <w:r>
        <w:rPr>
          <w:rFonts w:ascii="仿宋_GB2312" w:hAnsi="宋体" w:eastAsia="仿宋_GB2312" w:cs="宋体"/>
          <w:color w:val="000000"/>
          <w:kern w:val="0"/>
          <w:sz w:val="32"/>
          <w:szCs w:val="32"/>
        </w:rPr>
        <w:t>023</w:t>
      </w:r>
      <w:r>
        <w:rPr>
          <w:rFonts w:hint="eastAsia" w:ascii="仿宋_GB2312" w:hAnsi="宋体" w:eastAsia="仿宋_GB2312" w:cs="宋体"/>
          <w:color w:val="000000"/>
          <w:kern w:val="0"/>
          <w:sz w:val="32"/>
          <w:szCs w:val="32"/>
        </w:rPr>
        <w:t>年部门整体绩效目标包括六个方面，绩效目标设立依据充分，目标与职责匹配较好，目标合理。</w:t>
      </w:r>
    </w:p>
    <w:p>
      <w:pPr>
        <w:pStyle w:val="2"/>
        <w:spacing w:before="217" w:after="217"/>
      </w:pPr>
      <w:bookmarkStart w:id="3" w:name="_Toc135004718"/>
      <w:r>
        <w:rPr>
          <w:rFonts w:hint="eastAsia"/>
        </w:rPr>
        <w:t>二</w:t>
      </w:r>
      <w:r>
        <w:t>、</w:t>
      </w:r>
      <w:r>
        <w:rPr>
          <w:rFonts w:hint="eastAsia"/>
        </w:rPr>
        <w:t>当年</w:t>
      </w:r>
      <w:r>
        <w:t>预算执行情况</w:t>
      </w:r>
      <w:bookmarkEnd w:id="3"/>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2023年全年</w:t>
      </w:r>
      <w:r>
        <w:rPr>
          <w:rFonts w:hint="eastAsia" w:ascii="仿宋_GB2312" w:hAnsi="宋体" w:eastAsia="仿宋_GB2312" w:cs="宋体"/>
          <w:color w:val="000000"/>
          <w:kern w:val="0"/>
          <w:sz w:val="32"/>
          <w:szCs w:val="32"/>
        </w:rPr>
        <w:t>预算数</w:t>
      </w:r>
      <w:r>
        <w:rPr>
          <w:rFonts w:ascii="仿宋_GB2312" w:hAnsi="宋体" w:eastAsia="仿宋_GB2312" w:cs="宋体"/>
          <w:color w:val="000000"/>
          <w:kern w:val="0"/>
          <w:sz w:val="32"/>
          <w:szCs w:val="32"/>
        </w:rPr>
        <w:t>11920.15万元，</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预算数8022.11万元，</w:t>
      </w:r>
      <w:r>
        <w:rPr>
          <w:rFonts w:hint="eastAsia" w:ascii="仿宋_GB2312" w:hAnsi="宋体" w:eastAsia="仿宋_GB2312" w:cs="宋体"/>
          <w:color w:val="000000"/>
          <w:kern w:val="0"/>
          <w:sz w:val="32"/>
          <w:szCs w:val="32"/>
        </w:rPr>
        <w:t>项目支出预算数</w:t>
      </w:r>
      <w:r>
        <w:rPr>
          <w:rFonts w:ascii="仿宋_GB2312" w:hAnsi="宋体" w:eastAsia="仿宋_GB2312" w:cs="宋体"/>
          <w:color w:val="000000"/>
          <w:kern w:val="0"/>
          <w:sz w:val="32"/>
          <w:szCs w:val="32"/>
        </w:rPr>
        <w:t>3898.04万元，其他支出</w:t>
      </w:r>
      <w:r>
        <w:rPr>
          <w:rFonts w:hint="eastAsia" w:ascii="仿宋_GB2312" w:hAnsi="宋体" w:eastAsia="仿宋_GB2312" w:cs="宋体"/>
          <w:color w:val="000000"/>
          <w:kern w:val="0"/>
          <w:sz w:val="32"/>
          <w:szCs w:val="32"/>
        </w:rPr>
        <w:t>预算数</w:t>
      </w:r>
      <w:r>
        <w:rPr>
          <w:rFonts w:ascii="仿宋_GB2312" w:hAnsi="宋体" w:eastAsia="仿宋_GB2312" w:cs="宋体"/>
          <w:color w:val="000000"/>
          <w:kern w:val="0"/>
          <w:sz w:val="32"/>
          <w:szCs w:val="32"/>
        </w:rPr>
        <w:t>0万元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11519.83万元，其中，基本支出7856.05万元，项目</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3663.78万元，其他支出0万元。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执行率为96.64%</w:t>
      </w:r>
      <w:r>
        <w:rPr>
          <w:rFonts w:hint="eastAsia" w:ascii="仿宋_GB2312" w:hAnsi="宋体" w:eastAsia="仿宋_GB2312" w:cs="宋体"/>
          <w:color w:val="000000"/>
          <w:kern w:val="0"/>
          <w:sz w:val="32"/>
          <w:szCs w:val="32"/>
        </w:rPr>
        <w:t>。</w:t>
      </w:r>
    </w:p>
    <w:p>
      <w:pPr>
        <w:pStyle w:val="2"/>
        <w:spacing w:before="217" w:after="217"/>
      </w:pPr>
      <w:bookmarkStart w:id="4" w:name="_Toc135004719"/>
      <w:r>
        <w:rPr>
          <w:rFonts w:hint="eastAsia"/>
        </w:rPr>
        <w:t>三</w:t>
      </w:r>
      <w:r>
        <w:t>、整体绩效目标实现情况</w:t>
      </w:r>
      <w:bookmarkEnd w:id="4"/>
    </w:p>
    <w:p>
      <w:pPr>
        <w:pStyle w:val="3"/>
        <w:ind w:firstLine="643"/>
      </w:pPr>
      <w:bookmarkStart w:id="5" w:name="_Toc135004720"/>
      <w:r>
        <w:rPr>
          <w:rFonts w:hint="eastAsia"/>
        </w:rPr>
        <w:t>（一）产出完成情况分析</w:t>
      </w:r>
      <w:bookmarkEnd w:id="5"/>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市委统战部2</w:t>
      </w:r>
      <w:r>
        <w:rPr>
          <w:rFonts w:ascii="仿宋_GB2312" w:hAnsi="宋体" w:eastAsia="仿宋_GB2312" w:cs="宋体"/>
          <w:color w:val="000000"/>
          <w:kern w:val="0"/>
          <w:sz w:val="32"/>
          <w:szCs w:val="32"/>
        </w:rPr>
        <w:t>023</w:t>
      </w:r>
      <w:r>
        <w:rPr>
          <w:rFonts w:hint="eastAsia" w:ascii="仿宋_GB2312" w:hAnsi="宋体" w:eastAsia="仿宋_GB2312" w:cs="宋体"/>
          <w:color w:val="000000"/>
          <w:kern w:val="0"/>
          <w:sz w:val="32"/>
          <w:szCs w:val="32"/>
        </w:rPr>
        <w:t>年围绕年度工作计划开展工作，各</w:t>
      </w:r>
      <w:r>
        <w:rPr>
          <w:rFonts w:hint="eastAsia" w:ascii="仿宋_GB2312" w:hAnsi="宋体" w:eastAsia="仿宋_GB2312" w:cs="宋体"/>
          <w:kern w:val="0"/>
          <w:sz w:val="32"/>
          <w:szCs w:val="32"/>
        </w:rPr>
        <w:t>项产出完成较好。</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重点工作完成情况简要说明如下：</w:t>
      </w:r>
    </w:p>
    <w:p>
      <w:pPr>
        <w:spacing w:line="600" w:lineRule="exact"/>
        <w:ind w:firstLine="640" w:firstLineChars="200"/>
        <w:rPr>
          <w:rFonts w:ascii="仿宋_GB2312" w:hAnsi="宋体" w:eastAsia="仿宋_GB2312" w:cs="宋体"/>
          <w:color w:val="000000"/>
          <w:kern w:val="0"/>
          <w:sz w:val="32"/>
          <w:szCs w:val="32"/>
        </w:rPr>
      </w:pPr>
      <w:bookmarkStart w:id="6" w:name="_Toc135004721"/>
      <w:r>
        <w:rPr>
          <w:rFonts w:ascii="仿宋_GB2312" w:hAnsi="宋体" w:eastAsia="仿宋_GB2312" w:cs="宋体"/>
          <w:color w:val="000000"/>
          <w:kern w:val="0"/>
          <w:sz w:val="32"/>
          <w:szCs w:val="32"/>
        </w:rPr>
        <w:t>2023年，</w:t>
      </w:r>
      <w:r>
        <w:rPr>
          <w:rFonts w:hint="eastAsia" w:ascii="仿宋_GB2312" w:hAnsi="宋体" w:eastAsia="仿宋_GB2312" w:cs="宋体"/>
          <w:color w:val="000000"/>
          <w:kern w:val="0"/>
          <w:sz w:val="32"/>
          <w:szCs w:val="32"/>
        </w:rPr>
        <w:t>市委统战部坚持</w:t>
      </w:r>
      <w:r>
        <w:rPr>
          <w:rFonts w:ascii="仿宋_GB2312" w:hAnsi="宋体" w:eastAsia="仿宋_GB2312" w:cs="宋体"/>
          <w:color w:val="000000"/>
          <w:kern w:val="0"/>
          <w:sz w:val="32"/>
          <w:szCs w:val="32"/>
        </w:rPr>
        <w:t>大团结大联合</w:t>
      </w:r>
      <w:r>
        <w:rPr>
          <w:rFonts w:hint="eastAsia" w:ascii="仿宋_GB2312" w:hAnsi="宋体" w:eastAsia="仿宋_GB2312" w:cs="宋体"/>
          <w:color w:val="000000"/>
          <w:kern w:val="0"/>
          <w:sz w:val="32"/>
          <w:szCs w:val="32"/>
        </w:rPr>
        <w:t>主题</w:t>
      </w:r>
      <w:r>
        <w:rPr>
          <w:rFonts w:ascii="仿宋_GB2312" w:hAnsi="宋体" w:eastAsia="仿宋_GB2312" w:cs="宋体"/>
          <w:color w:val="000000"/>
          <w:kern w:val="0"/>
          <w:sz w:val="32"/>
          <w:szCs w:val="32"/>
        </w:rPr>
        <w:t>，全面加强党外代表人士团结联系，引领带动广大统战成员围绕中心任务凝心聚力，</w:t>
      </w:r>
      <w:r>
        <w:rPr>
          <w:rFonts w:hint="eastAsia" w:ascii="仿宋_GB2312" w:hAnsi="宋体" w:eastAsia="仿宋_GB2312" w:cs="宋体"/>
          <w:color w:val="000000"/>
          <w:kern w:val="0"/>
          <w:sz w:val="32"/>
          <w:szCs w:val="32"/>
        </w:rPr>
        <w:t>着</w:t>
      </w:r>
      <w:r>
        <w:rPr>
          <w:rFonts w:ascii="仿宋_GB2312" w:hAnsi="宋体" w:eastAsia="仿宋_GB2312" w:cs="宋体"/>
          <w:color w:val="000000"/>
          <w:kern w:val="0"/>
          <w:sz w:val="32"/>
          <w:szCs w:val="32"/>
        </w:rPr>
        <w:t>力促进政党、民族、宗教、阶层、海内外同胞“五大关系”和谐，进一步巩固和发展了统一战线团结、奋进、开拓、活跃的良好局面。现将有关情况报告如下。</w:t>
      </w:r>
    </w:p>
    <w:p>
      <w:pPr>
        <w:spacing w:line="60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w:t>
      </w:r>
      <w:r>
        <w:rPr>
          <w:rFonts w:ascii="仿宋_GB2312" w:hAnsi="宋体" w:eastAsia="仿宋_GB2312" w:cs="宋体"/>
          <w:color w:val="000000"/>
          <w:kern w:val="0"/>
          <w:sz w:val="32"/>
          <w:szCs w:val="32"/>
          <w:highlight w:val="none"/>
        </w:rPr>
        <w:t>.按照中央和市委统一部署，聚焦“学思想、强党性、重实践、建新功”总要求，一体推进理论学习、调查研究、推动发展、检视整改，高标准完成各项任务。发挥党内集中学习教育带动作用首都统一战线学习贯彻党的创新理论的政治自觉进一步</w:t>
      </w:r>
      <w:r>
        <w:rPr>
          <w:rFonts w:hint="eastAsia" w:ascii="仿宋_GB2312" w:hAnsi="宋体" w:eastAsia="仿宋_GB2312" w:cs="宋体"/>
          <w:color w:val="000000"/>
          <w:kern w:val="0"/>
          <w:sz w:val="32"/>
          <w:szCs w:val="32"/>
          <w:highlight w:val="none"/>
        </w:rPr>
        <w:t>得到</w:t>
      </w:r>
      <w:r>
        <w:rPr>
          <w:rFonts w:ascii="仿宋_GB2312" w:hAnsi="宋体" w:eastAsia="仿宋_GB2312" w:cs="宋体"/>
          <w:color w:val="000000"/>
          <w:kern w:val="0"/>
          <w:sz w:val="32"/>
          <w:szCs w:val="32"/>
          <w:highlight w:val="none"/>
        </w:rPr>
        <w:t>提升。</w:t>
      </w:r>
    </w:p>
    <w:p>
      <w:pPr>
        <w:spacing w:line="60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w:t>
      </w:r>
      <w:r>
        <w:rPr>
          <w:rFonts w:ascii="仿宋_GB2312" w:hAnsi="宋体" w:eastAsia="仿宋_GB2312" w:cs="宋体"/>
          <w:color w:val="000000"/>
          <w:kern w:val="0"/>
          <w:sz w:val="32"/>
          <w:szCs w:val="32"/>
          <w:highlight w:val="none"/>
        </w:rPr>
        <w:t>.切实强化政治担当，狠抓习近平总书记重要讲话和指示批示精神在统战领域落地见效</w:t>
      </w:r>
      <w:r>
        <w:rPr>
          <w:rFonts w:hint="eastAsia" w:ascii="仿宋_GB2312" w:hAnsi="宋体" w:eastAsia="仿宋_GB2312" w:cs="宋体"/>
          <w:color w:val="000000"/>
          <w:kern w:val="0"/>
          <w:sz w:val="32"/>
          <w:szCs w:val="32"/>
          <w:highlight w:val="none"/>
        </w:rPr>
        <w:t>。</w:t>
      </w:r>
      <w:r>
        <w:rPr>
          <w:rFonts w:ascii="仿宋_GB2312" w:hAnsi="宋体" w:eastAsia="仿宋_GB2312" w:cs="宋体"/>
          <w:color w:val="000000"/>
          <w:kern w:val="0"/>
          <w:sz w:val="32"/>
          <w:szCs w:val="32"/>
          <w:highlight w:val="none"/>
        </w:rPr>
        <w:t>认真贯彻</w:t>
      </w:r>
      <w:r>
        <w:rPr>
          <w:rFonts w:hint="eastAsia" w:ascii="仿宋_GB2312" w:hAnsi="宋体" w:eastAsia="仿宋_GB2312" w:cs="宋体"/>
          <w:color w:val="000000"/>
          <w:kern w:val="0"/>
          <w:sz w:val="32"/>
          <w:szCs w:val="32"/>
          <w:highlight w:val="none"/>
        </w:rPr>
        <w:t>习近平</w:t>
      </w:r>
      <w:r>
        <w:rPr>
          <w:rFonts w:ascii="仿宋_GB2312" w:hAnsi="宋体" w:eastAsia="仿宋_GB2312" w:cs="宋体"/>
          <w:color w:val="000000"/>
          <w:kern w:val="0"/>
          <w:sz w:val="32"/>
          <w:szCs w:val="32"/>
          <w:highlight w:val="none"/>
        </w:rPr>
        <w:t>总书记在深入推进京津冀协同发展座谈会上的重要讲话精神，</w:t>
      </w:r>
      <w:r>
        <w:rPr>
          <w:rFonts w:hint="eastAsia" w:ascii="仿宋_GB2312" w:hAnsi="宋体" w:eastAsia="仿宋_GB2312" w:cs="宋体"/>
          <w:color w:val="000000"/>
          <w:kern w:val="0"/>
          <w:sz w:val="32"/>
          <w:szCs w:val="32"/>
          <w:highlight w:val="none"/>
        </w:rPr>
        <w:t>深入学习贯彻习近平</w:t>
      </w:r>
      <w:r>
        <w:rPr>
          <w:rFonts w:ascii="仿宋_GB2312" w:hAnsi="宋体" w:eastAsia="仿宋_GB2312" w:cs="宋体"/>
          <w:color w:val="000000"/>
          <w:kern w:val="0"/>
          <w:sz w:val="32"/>
          <w:szCs w:val="32"/>
          <w:highlight w:val="none"/>
        </w:rPr>
        <w:t>总书记给中国农业大学科技小院的学生回信精神，汇聚统战资源支持乡村振兴</w:t>
      </w:r>
      <w:r>
        <w:rPr>
          <w:rFonts w:hint="eastAsia" w:ascii="仿宋_GB2312" w:hAnsi="宋体" w:eastAsia="仿宋_GB2312" w:cs="宋体"/>
          <w:color w:val="000000"/>
          <w:kern w:val="0"/>
          <w:sz w:val="32"/>
          <w:szCs w:val="32"/>
          <w:highlight w:val="none"/>
        </w:rPr>
        <w:t>。</w:t>
      </w:r>
    </w:p>
    <w:p>
      <w:pPr>
        <w:spacing w:line="60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3</w:t>
      </w:r>
      <w:r>
        <w:rPr>
          <w:rFonts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rPr>
        <w:t>聚焦思想政治引领主责主业，持续强化党外代表人士团结联络，</w:t>
      </w:r>
      <w:r>
        <w:rPr>
          <w:rFonts w:ascii="仿宋_GB2312" w:hAnsi="宋体" w:eastAsia="仿宋_GB2312" w:cs="宋体"/>
          <w:color w:val="000000"/>
          <w:kern w:val="0"/>
          <w:sz w:val="32"/>
          <w:szCs w:val="32"/>
          <w:highlight w:val="none"/>
        </w:rPr>
        <w:t>把为党凝心聚力作为最大的政治和最大的政绩。</w:t>
      </w:r>
      <w:r>
        <w:rPr>
          <w:rFonts w:hint="eastAsia" w:ascii="仿宋_GB2312" w:hAnsi="宋体" w:eastAsia="仿宋_GB2312" w:cs="宋体"/>
          <w:color w:val="000000"/>
          <w:kern w:val="0"/>
          <w:sz w:val="32"/>
          <w:szCs w:val="32"/>
          <w:highlight w:val="none"/>
        </w:rPr>
        <w:t>依托活动强化团结引领。</w:t>
      </w:r>
    </w:p>
    <w:p>
      <w:pPr>
        <w:spacing w:line="60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w:t>
      </w:r>
      <w:r>
        <w:rPr>
          <w:rFonts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rPr>
        <w:t>坚决贯彻党中央决策部署，创新推进统战工作重点任务</w:t>
      </w:r>
      <w:r>
        <w:rPr>
          <w:rFonts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rPr>
        <w:t>做深做细做实统一战线各领域工作。</w:t>
      </w:r>
    </w:p>
    <w:p>
      <w:pPr>
        <w:spacing w:line="60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5</w:t>
      </w:r>
      <w:r>
        <w:rPr>
          <w:rFonts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rPr>
        <w:t>积极防范化解风险隐患，有效维护首都统战领域和谐稳定.</w:t>
      </w:r>
    </w:p>
    <w:p>
      <w:pPr>
        <w:spacing w:line="60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6</w:t>
      </w:r>
      <w:r>
        <w:rPr>
          <w:rFonts w:ascii="仿宋_GB2312" w:hAnsi="宋体" w:eastAsia="仿宋_GB2312" w:cs="宋体"/>
          <w:color w:val="000000"/>
          <w:kern w:val="0"/>
          <w:sz w:val="32"/>
          <w:szCs w:val="32"/>
          <w:highlight w:val="none"/>
        </w:rPr>
        <w:t>.不断加强党对统战工作的全面领导，持续完善大统战工作格局</w:t>
      </w:r>
      <w:r>
        <w:rPr>
          <w:rFonts w:hint="eastAsia" w:ascii="仿宋_GB2312" w:hAnsi="宋体" w:eastAsia="仿宋_GB2312" w:cs="宋体"/>
          <w:color w:val="000000"/>
          <w:kern w:val="0"/>
          <w:sz w:val="32"/>
          <w:szCs w:val="32"/>
          <w:highlight w:val="none"/>
        </w:rPr>
        <w:t>。</w:t>
      </w:r>
      <w:r>
        <w:rPr>
          <w:rFonts w:ascii="仿宋_GB2312" w:hAnsi="宋体" w:eastAsia="仿宋_GB2312" w:cs="宋体"/>
          <w:color w:val="000000"/>
          <w:kern w:val="0"/>
          <w:sz w:val="32"/>
          <w:szCs w:val="32"/>
          <w:highlight w:val="none"/>
        </w:rPr>
        <w:t>坚持把加强党的领导落实到统战工作各方面全过程。市委主要负责同志率先垂范，亲自研究统战领域重大问题、推动重点工作，统战干部队伍凝聚力、战斗力显著增强，大统战工作格局更加完善，为全党</w:t>
      </w:r>
      <w:r>
        <w:rPr>
          <w:rFonts w:hint="eastAsia" w:ascii="仿宋_GB2312" w:hAnsi="宋体" w:eastAsia="仿宋_GB2312" w:cs="宋体"/>
          <w:color w:val="000000"/>
          <w:kern w:val="0"/>
          <w:sz w:val="32"/>
          <w:szCs w:val="32"/>
          <w:highlight w:val="none"/>
        </w:rPr>
        <w:t>共同</w:t>
      </w:r>
      <w:r>
        <w:rPr>
          <w:rFonts w:ascii="仿宋_GB2312" w:hAnsi="宋体" w:eastAsia="仿宋_GB2312" w:cs="宋体"/>
          <w:color w:val="000000"/>
          <w:kern w:val="0"/>
          <w:sz w:val="32"/>
          <w:szCs w:val="32"/>
          <w:highlight w:val="none"/>
        </w:rPr>
        <w:t>做统战工作提供了强有力的保障。</w:t>
      </w:r>
    </w:p>
    <w:p>
      <w:pPr>
        <w:pStyle w:val="3"/>
        <w:ind w:firstLine="643"/>
        <w:rPr>
          <w:highlight w:val="none"/>
        </w:rPr>
      </w:pPr>
      <w:r>
        <w:rPr>
          <w:rFonts w:hint="eastAsia"/>
          <w:highlight w:val="none"/>
        </w:rPr>
        <w:t>（二）效果</w:t>
      </w:r>
      <w:r>
        <w:rPr>
          <w:highlight w:val="none"/>
        </w:rPr>
        <w:t>实现情况分析</w:t>
      </w:r>
      <w:bookmarkEnd w:id="6"/>
    </w:p>
    <w:p>
      <w:pPr>
        <w:adjustRightInd w:val="0"/>
        <w:snapToGrid w:val="0"/>
        <w:spacing w:line="360" w:lineRule="auto"/>
        <w:ind w:firstLine="640" w:firstLineChars="200"/>
        <w:rPr>
          <w:rFonts w:ascii="仿宋_GB2312" w:hAnsi="宋体" w:eastAsia="仿宋_GB2312" w:cs="宋体"/>
          <w:color w:val="000000"/>
          <w:kern w:val="0"/>
          <w:sz w:val="32"/>
          <w:szCs w:val="32"/>
          <w:highlight w:val="none"/>
        </w:rPr>
      </w:pPr>
      <w:bookmarkStart w:id="7" w:name="_Toc135004722"/>
      <w:r>
        <w:rPr>
          <w:rFonts w:hint="eastAsia" w:ascii="仿宋_GB2312" w:hAnsi="宋体" w:eastAsia="仿宋_GB2312" w:cs="宋体"/>
          <w:color w:val="000000"/>
          <w:kern w:val="0"/>
          <w:sz w:val="32"/>
          <w:szCs w:val="32"/>
          <w:highlight w:val="none"/>
        </w:rPr>
        <w:t>市委统战部202</w:t>
      </w:r>
      <w:r>
        <w:rPr>
          <w:rFonts w:ascii="仿宋_GB2312" w:hAnsi="宋体" w:eastAsia="仿宋_GB2312" w:cs="宋体"/>
          <w:color w:val="000000"/>
          <w:kern w:val="0"/>
          <w:sz w:val="32"/>
          <w:szCs w:val="32"/>
          <w:highlight w:val="none"/>
        </w:rPr>
        <w:t>3</w:t>
      </w:r>
      <w:r>
        <w:rPr>
          <w:rFonts w:hint="eastAsia" w:ascii="仿宋_GB2312" w:hAnsi="宋体" w:eastAsia="仿宋_GB2312" w:cs="宋体"/>
          <w:color w:val="000000"/>
          <w:kern w:val="0"/>
          <w:sz w:val="32"/>
          <w:szCs w:val="32"/>
          <w:highlight w:val="none"/>
        </w:rPr>
        <w:t>年部门整体支出</w:t>
      </w:r>
      <w:r>
        <w:rPr>
          <w:rFonts w:ascii="仿宋_GB2312" w:hAnsi="宋体" w:eastAsia="仿宋_GB2312" w:cs="宋体"/>
          <w:color w:val="000000"/>
          <w:kern w:val="0"/>
          <w:sz w:val="32"/>
          <w:szCs w:val="32"/>
          <w:highlight w:val="none"/>
        </w:rPr>
        <w:t>深入贯彻习近平总书记关于做好新时代党的统一战线工作的重要思想，认真落实全国统战部长会议精神，牢牢把握团结奋斗的时代主题，运用统一战线这个强大法宝，推动</w:t>
      </w:r>
      <w:r>
        <w:rPr>
          <w:rFonts w:hint="eastAsia" w:ascii="仿宋_GB2312" w:hAnsi="宋体" w:eastAsia="仿宋_GB2312" w:cs="宋体"/>
          <w:color w:val="000000"/>
          <w:kern w:val="0"/>
          <w:sz w:val="32"/>
          <w:szCs w:val="32"/>
          <w:highlight w:val="none"/>
        </w:rPr>
        <w:t>了</w:t>
      </w:r>
      <w:r>
        <w:rPr>
          <w:rFonts w:ascii="仿宋_GB2312" w:hAnsi="宋体" w:eastAsia="仿宋_GB2312" w:cs="宋体"/>
          <w:color w:val="000000"/>
          <w:kern w:val="0"/>
          <w:sz w:val="32"/>
          <w:szCs w:val="32"/>
          <w:highlight w:val="none"/>
        </w:rPr>
        <w:t>首都统战工作高质量发展。</w:t>
      </w:r>
      <w:r>
        <w:rPr>
          <w:rFonts w:hint="eastAsia" w:ascii="仿宋_GB2312" w:hAnsi="宋体" w:eastAsia="仿宋_GB2312" w:cs="宋体"/>
          <w:color w:val="000000"/>
          <w:kern w:val="0"/>
          <w:sz w:val="32"/>
          <w:szCs w:val="32"/>
          <w:highlight w:val="none"/>
        </w:rPr>
        <w:t>围绕市委市政府各项决策及中心工作事项，按照中央及市委要求履行部门职责的工作项目，用于贯彻落实党的统一战线工作方针政策，通过开展统战及侨务工作等活动，在海内外对统战及侨务工作进行宣传，进一步加强了与统战对象及广大华侨华人的联系，有效引导统战对象及广大华侨华人为首都发展做贡献。</w:t>
      </w:r>
    </w:p>
    <w:p>
      <w:pPr>
        <w:pStyle w:val="2"/>
        <w:spacing w:before="217" w:after="217"/>
        <w:rPr>
          <w:highlight w:val="none"/>
        </w:rPr>
      </w:pPr>
      <w:r>
        <w:rPr>
          <w:rFonts w:hint="eastAsia"/>
          <w:highlight w:val="none"/>
        </w:rPr>
        <w:t>四</w:t>
      </w:r>
      <w:r>
        <w:rPr>
          <w:highlight w:val="none"/>
        </w:rPr>
        <w:t>、预算管理</w:t>
      </w:r>
      <w:r>
        <w:rPr>
          <w:rFonts w:hint="eastAsia"/>
          <w:highlight w:val="none"/>
        </w:rPr>
        <w:t>情况分</w:t>
      </w:r>
      <w:r>
        <w:rPr>
          <w:highlight w:val="none"/>
        </w:rPr>
        <w:t>析</w:t>
      </w:r>
      <w:bookmarkEnd w:id="7"/>
    </w:p>
    <w:p>
      <w:pPr>
        <w:pStyle w:val="3"/>
        <w:ind w:firstLine="643"/>
        <w:rPr>
          <w:highlight w:val="none"/>
        </w:rPr>
      </w:pPr>
      <w:bookmarkStart w:id="8" w:name="_Toc135004723"/>
      <w:r>
        <w:rPr>
          <w:rFonts w:hint="eastAsia"/>
          <w:highlight w:val="none"/>
        </w:rPr>
        <w:t>（一）财务管理</w:t>
      </w:r>
      <w:bookmarkEnd w:id="8"/>
    </w:p>
    <w:p>
      <w:pPr>
        <w:adjustRightInd w:val="0"/>
        <w:snapToGrid w:val="0"/>
        <w:spacing w:line="360" w:lineRule="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1.财务</w:t>
      </w:r>
      <w:r>
        <w:rPr>
          <w:rFonts w:ascii="仿宋_GB2312" w:hAnsi="宋体" w:eastAsia="仿宋_GB2312" w:cs="宋体"/>
          <w:color w:val="000000"/>
          <w:kern w:val="0"/>
          <w:sz w:val="32"/>
          <w:szCs w:val="32"/>
          <w:highlight w:val="none"/>
        </w:rPr>
        <w:t>管理制度健全性</w:t>
      </w:r>
    </w:p>
    <w:p>
      <w:pPr>
        <w:adjustRightInd w:val="0"/>
        <w:snapToGrid w:val="0"/>
        <w:spacing w:line="360" w:lineRule="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为规范预算管理，市委统战部注重健全内部控制制度，补充完善各类财务管理制度，制度体系健全。比如：中共北京市委统一战线工作部内部控制管理制度；中共北京市委统一战线工作部“三重一大”决策制度；中共北京市委统一战线工作部领导班子议事决策规则；中共北京市委统一战线工作部预算管理制度；中共北京市委统一战线工作部财务管理制度；中共北京市委统一战线工作部经费支出管理制度；中共北京市委统战部会议（培训）费管理制度；中共北京市委统战部国内公务接待管理制度；中共北京市委统战部差旅费管理制度；中共北京市委统战部公务卡管理制度；中共北京市委统一战线工作部内部控制评价与监督制度；中共北京市委统一战线工作部经济活动相关信息内部公开制度等。</w:t>
      </w:r>
    </w:p>
    <w:p>
      <w:pPr>
        <w:adjustRightInd w:val="0"/>
        <w:snapToGrid w:val="0"/>
        <w:spacing w:line="360" w:lineRule="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2.资金使用合规性</w:t>
      </w:r>
      <w:r>
        <w:rPr>
          <w:rFonts w:ascii="仿宋_GB2312" w:hAnsi="宋体" w:eastAsia="仿宋_GB2312" w:cs="宋体"/>
          <w:color w:val="000000"/>
          <w:kern w:val="0"/>
          <w:sz w:val="32"/>
          <w:szCs w:val="32"/>
          <w:highlight w:val="none"/>
        </w:rPr>
        <w:t>和安全性</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sz w:val="32"/>
          <w:szCs w:val="32"/>
        </w:rPr>
        <w:t>市委统战部资金使用严格按照国家财经法规和内部财务管理制度、资金支出管理办法规定以及有关专项资金管理办法的规定执行。不存在截留、挤占、挪用、虚列支出等情况，资金使用合规性较好。在资金使用监管上，能够落实重大支出集体研究制度，年度资金分配履行了相关报批手续。预算执行中，</w:t>
      </w:r>
      <w:r>
        <w:rPr>
          <w:rFonts w:hint="eastAsia" w:ascii="仿宋_GB2312" w:hAnsi="宋体" w:eastAsia="仿宋_GB2312" w:cs="宋体"/>
          <w:color w:val="000000"/>
          <w:kern w:val="0"/>
          <w:sz w:val="32"/>
          <w:szCs w:val="32"/>
        </w:rPr>
        <w:t>认真遵守政府采购、资产管理、合同管理、绩效管理等财务管理相关规定。市委统战部制定了《中共北京市委统一战线工作部内部控制手册（试行）》，其中包括《中共北京市委统一战线工作部经费支出管理制度》、《中共北京市委统一战线工作部财务管理制度》等各项内部控制制度。上述制度均得到了有效执行，把风险降低到最低，同时确保预算执行更加顺畅、监督体系更加完善，使各项开支合规、合法。</w:t>
      </w:r>
      <w:r>
        <w:rPr>
          <w:rFonts w:hint="eastAsia" w:ascii="仿宋_GB2312" w:hAnsi="仿宋" w:eastAsia="仿宋_GB2312"/>
          <w:sz w:val="32"/>
          <w:szCs w:val="32"/>
        </w:rPr>
        <w:t>会计核算方面，专款专用，项目资金在统一会</w:t>
      </w:r>
      <w:r>
        <w:rPr>
          <w:rFonts w:hint="eastAsia" w:ascii="仿宋_GB2312" w:hAnsi="宋体" w:eastAsia="仿宋_GB2312" w:cs="宋体"/>
          <w:color w:val="000000"/>
          <w:kern w:val="0"/>
          <w:sz w:val="32"/>
          <w:szCs w:val="32"/>
        </w:rPr>
        <w:t>计账簿中按照项目明细单独核算，会计凭证资料保存完整、装订规范。</w:t>
      </w:r>
    </w:p>
    <w:p>
      <w:pPr>
        <w:spacing w:line="60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从抽查凭证看，市委统战部严格执行《政府会计制度》，规范使用会计科目，完整呈现会计基础信息，规范性较强。</w:t>
      </w:r>
    </w:p>
    <w:p>
      <w:pPr>
        <w:pStyle w:val="3"/>
        <w:ind w:firstLine="643"/>
      </w:pPr>
      <w:bookmarkStart w:id="9" w:name="_Toc135004724"/>
      <w:r>
        <w:rPr>
          <w:rFonts w:hint="eastAsia"/>
        </w:rPr>
        <w:t>（二）资产管理</w:t>
      </w:r>
      <w:bookmarkEnd w:id="9"/>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为规范资产管理工作，</w:t>
      </w:r>
      <w:r>
        <w:rPr>
          <w:rFonts w:hint="eastAsia" w:ascii="仿宋_GB2312" w:hAnsi="宋体" w:eastAsia="仿宋_GB2312" w:cs="宋体"/>
          <w:kern w:val="0"/>
          <w:sz w:val="32"/>
          <w:szCs w:val="32"/>
        </w:rPr>
        <w:t>根据《行政单位国有资产管理暂行办法》《事业单位国有资产管理暂行办法》和《行政事业单位固定资产管理暂行办法》及市委统战部相关规定，结合单位实际情况，</w:t>
      </w:r>
      <w:r>
        <w:rPr>
          <w:rFonts w:hint="eastAsia" w:ascii="仿宋_GB2312" w:hAnsi="宋体" w:eastAsia="仿宋_GB2312" w:cs="宋体"/>
          <w:color w:val="000000"/>
          <w:kern w:val="0"/>
          <w:sz w:val="32"/>
          <w:szCs w:val="32"/>
        </w:rPr>
        <w:t>市委统战部制定了《中共北京市委统一战线工作部固定资产管理制度》、《中共北京市委统一战线工作部采购管理制度》等，用以规范资产采购和资产管理业务，预算执行过程中，严格执行相关资产管理制度，规范和加强了市委统战部资产管理工作，维护了国有资产的安全完整、合理配置和有效利用，不存在资产违规使用和超额配置资产等情况。</w:t>
      </w:r>
    </w:p>
    <w:p>
      <w:pPr>
        <w:pStyle w:val="3"/>
        <w:ind w:firstLine="643"/>
      </w:pPr>
      <w:bookmarkStart w:id="10" w:name="_Toc135004725"/>
      <w:r>
        <w:rPr>
          <w:rFonts w:hint="eastAsia"/>
        </w:rPr>
        <w:t>（三）绩效</w:t>
      </w:r>
      <w:r>
        <w:t>管理</w:t>
      </w:r>
      <w:bookmarkEnd w:id="10"/>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为更好地开展预算绩效管理工作，市委统战部围绕全市总体工作方案，明确了预算绩效管理工作的原则、组织机构及职责分工、主要工作任务、工作要求及保障措施等，稳步推进预算绩效管理工作。</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在领导高度重视的基础上，市委统战部特成立绩效管理领导小组，领导小组由主管财务工作领导担任组长，各职能处室领导任组员，负责协调、处理、决定绩效管理工作中的重大事项，研究解决工作中遇到的重大问题，探索建立适合本单位实际情况的预算绩效管理机制。领导小组下设评价工作小组，由办公室牵头，项目实施部门、中介机构共同成立，负责绩效评价工作的具体实施，协调工作中出现的问题。人员各司其职，保障了部门自评工作的顺利推进。</w:t>
      </w:r>
    </w:p>
    <w:p>
      <w:pPr>
        <w:pStyle w:val="3"/>
        <w:ind w:firstLine="643"/>
      </w:pPr>
      <w:bookmarkStart w:id="11" w:name="_Toc135004726"/>
      <w:r>
        <w:rPr>
          <w:rFonts w:hint="eastAsia"/>
        </w:rPr>
        <w:t>（四）结转结余率</w:t>
      </w:r>
      <w:bookmarkEnd w:id="11"/>
    </w:p>
    <w:p>
      <w:pPr>
        <w:spacing w:line="600" w:lineRule="exact"/>
        <w:ind w:firstLine="640" w:firstLineChars="200"/>
        <w:outlineLvl w:val="0"/>
        <w:rPr>
          <w:rFonts w:ascii="仿宋_GB2312" w:hAnsi="宋体" w:eastAsia="仿宋_GB2312" w:cs="宋体"/>
          <w:kern w:val="0"/>
          <w:sz w:val="32"/>
          <w:szCs w:val="32"/>
        </w:rPr>
      </w:pPr>
      <w:bookmarkStart w:id="12" w:name="_Toc135004727"/>
      <w:r>
        <w:rPr>
          <w:rFonts w:hint="eastAsia" w:ascii="仿宋_GB2312" w:hAnsi="宋体" w:eastAsia="仿宋_GB2312" w:cs="宋体"/>
          <w:color w:val="000000"/>
          <w:kern w:val="0"/>
          <w:sz w:val="32"/>
          <w:szCs w:val="32"/>
        </w:rPr>
        <w:t>202</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年市委统战部全年预算数为</w:t>
      </w:r>
      <w:r>
        <w:rPr>
          <w:rFonts w:ascii="仿宋_GB2312" w:hAnsi="宋体" w:eastAsia="仿宋_GB2312" w:cs="宋体"/>
          <w:color w:val="000000"/>
          <w:kern w:val="0"/>
          <w:sz w:val="32"/>
          <w:szCs w:val="32"/>
        </w:rPr>
        <w:t>11920.15</w:t>
      </w:r>
      <w:r>
        <w:rPr>
          <w:rFonts w:hint="eastAsia" w:ascii="仿宋_GB2312" w:hAnsi="宋体" w:eastAsia="仿宋_GB2312" w:cs="宋体"/>
          <w:color w:val="000000"/>
          <w:kern w:val="0"/>
          <w:sz w:val="32"/>
          <w:szCs w:val="32"/>
        </w:rPr>
        <w:t>万元，</w:t>
      </w:r>
      <w:r>
        <w:rPr>
          <w:rFonts w:hint="eastAsia" w:ascii="仿宋_GB2312" w:hAnsi="宋体" w:eastAsia="仿宋_GB2312" w:cs="宋体"/>
          <w:kern w:val="0"/>
          <w:sz w:val="32"/>
          <w:szCs w:val="32"/>
        </w:rPr>
        <w:t>年末结余结转金额为</w:t>
      </w:r>
      <w:r>
        <w:rPr>
          <w:rFonts w:ascii="仿宋_GB2312" w:hAnsi="宋体" w:eastAsia="仿宋_GB2312" w:cs="宋体"/>
          <w:kern w:val="0"/>
          <w:sz w:val="32"/>
          <w:szCs w:val="32"/>
        </w:rPr>
        <w:t>400.33</w:t>
      </w:r>
      <w:r>
        <w:rPr>
          <w:rFonts w:hint="eastAsia" w:ascii="仿宋_GB2312" w:hAnsi="宋体" w:eastAsia="仿宋_GB2312" w:cs="宋体"/>
          <w:kern w:val="0"/>
          <w:sz w:val="32"/>
          <w:szCs w:val="32"/>
        </w:rPr>
        <w:t>万元，结余结转率</w:t>
      </w:r>
      <w:r>
        <w:rPr>
          <w:rFonts w:ascii="仿宋_GB2312" w:hAnsi="宋体" w:eastAsia="仿宋_GB2312" w:cs="宋体"/>
          <w:kern w:val="0"/>
          <w:sz w:val="32"/>
          <w:szCs w:val="32"/>
        </w:rPr>
        <w:t>3.36</w:t>
      </w:r>
      <w:r>
        <w:rPr>
          <w:rFonts w:hint="eastAsia" w:ascii="仿宋_GB2312" w:hAnsi="宋体" w:eastAsia="仿宋_GB2312" w:cs="宋体"/>
          <w:kern w:val="0"/>
          <w:sz w:val="32"/>
          <w:szCs w:val="32"/>
        </w:rPr>
        <w:t>%。本年结转结余率较上年减少</w:t>
      </w:r>
      <w:r>
        <w:rPr>
          <w:rFonts w:ascii="仿宋_GB2312" w:hAnsi="宋体" w:eastAsia="仿宋_GB2312" w:cs="宋体"/>
          <w:kern w:val="0"/>
          <w:sz w:val="32"/>
          <w:szCs w:val="32"/>
        </w:rPr>
        <w:t>1.16</w:t>
      </w:r>
      <w:r>
        <w:rPr>
          <w:rFonts w:hint="eastAsia" w:ascii="仿宋_GB2312" w:hAnsi="宋体" w:eastAsia="仿宋_GB2312" w:cs="宋体"/>
          <w:kern w:val="0"/>
          <w:sz w:val="32"/>
          <w:szCs w:val="32"/>
        </w:rPr>
        <w:t>%。</w:t>
      </w:r>
    </w:p>
    <w:p>
      <w:pPr>
        <w:pStyle w:val="3"/>
        <w:ind w:firstLine="643"/>
      </w:pPr>
      <w:r>
        <w:rPr>
          <w:rFonts w:hint="eastAsia"/>
        </w:rPr>
        <w:t>（五）部门</w:t>
      </w:r>
      <w:r>
        <w:t>预决算差异率</w:t>
      </w:r>
      <w:bookmarkEnd w:id="12"/>
    </w:p>
    <w:p>
      <w:pPr>
        <w:spacing w:line="600" w:lineRule="exact"/>
        <w:ind w:firstLine="640" w:firstLineChars="200"/>
        <w:outlineLvl w:val="0"/>
        <w:rPr>
          <w:rFonts w:ascii="仿宋_GB2312" w:hAnsi="宋体" w:eastAsia="仿宋_GB2312" w:cs="宋体"/>
          <w:kern w:val="0"/>
          <w:sz w:val="32"/>
          <w:szCs w:val="32"/>
        </w:rPr>
      </w:pPr>
      <w:bookmarkStart w:id="13" w:name="_Toc135004728"/>
      <w:r>
        <w:rPr>
          <w:rFonts w:hint="eastAsia" w:ascii="仿宋_GB2312" w:hAnsi="宋体" w:eastAsia="仿宋_GB2312" w:cs="宋体"/>
          <w:kern w:val="0"/>
          <w:sz w:val="32"/>
          <w:szCs w:val="32"/>
        </w:rPr>
        <w:t>202</w:t>
      </w:r>
      <w:r>
        <w:rPr>
          <w:rFonts w:ascii="仿宋_GB2312" w:hAnsi="宋体" w:eastAsia="仿宋_GB2312" w:cs="宋体"/>
          <w:kern w:val="0"/>
          <w:sz w:val="32"/>
          <w:szCs w:val="32"/>
        </w:rPr>
        <w:t>3</w:t>
      </w:r>
      <w:r>
        <w:rPr>
          <w:rFonts w:hint="eastAsia" w:ascii="仿宋_GB2312" w:hAnsi="宋体" w:eastAsia="仿宋_GB2312" w:cs="宋体"/>
          <w:kern w:val="0"/>
          <w:sz w:val="32"/>
          <w:szCs w:val="32"/>
        </w:rPr>
        <w:t>年年初预算数为</w:t>
      </w:r>
      <w:r>
        <w:rPr>
          <w:rFonts w:ascii="仿宋_GB2312" w:hAnsi="宋体" w:eastAsia="仿宋_GB2312" w:cs="宋体"/>
          <w:kern w:val="0"/>
          <w:sz w:val="32"/>
          <w:szCs w:val="32"/>
        </w:rPr>
        <w:t>10925.11</w:t>
      </w:r>
      <w:r>
        <w:rPr>
          <w:rFonts w:hint="eastAsia" w:ascii="仿宋_GB2312" w:hAnsi="宋体" w:eastAsia="仿宋_GB2312" w:cs="宋体"/>
          <w:kern w:val="0"/>
          <w:sz w:val="32"/>
          <w:szCs w:val="32"/>
        </w:rPr>
        <w:t xml:space="preserve">万元，决算数为 </w:t>
      </w:r>
      <w:r>
        <w:rPr>
          <w:rFonts w:ascii="仿宋_GB2312" w:hAnsi="宋体" w:eastAsia="仿宋_GB2312" w:cs="宋体"/>
          <w:kern w:val="0"/>
          <w:sz w:val="32"/>
          <w:szCs w:val="32"/>
        </w:rPr>
        <w:t>11519.83</w:t>
      </w:r>
      <w:r>
        <w:rPr>
          <w:rFonts w:hint="eastAsia" w:ascii="仿宋_GB2312" w:hAnsi="宋体" w:eastAsia="仿宋_GB2312" w:cs="宋体"/>
          <w:kern w:val="0"/>
          <w:sz w:val="32"/>
          <w:szCs w:val="32"/>
        </w:rPr>
        <w:t>万元，差额为</w:t>
      </w:r>
      <w:r>
        <w:rPr>
          <w:rFonts w:ascii="仿宋_GB2312" w:hAnsi="宋体" w:eastAsia="仿宋_GB2312" w:cs="宋体"/>
          <w:kern w:val="0"/>
          <w:sz w:val="32"/>
          <w:szCs w:val="32"/>
          <w:lang w:val="en"/>
        </w:rPr>
        <w:t>594.72</w:t>
      </w:r>
      <w:r>
        <w:rPr>
          <w:rFonts w:hint="eastAsia" w:ascii="仿宋_GB2312" w:hAnsi="宋体" w:eastAsia="仿宋_GB2312" w:cs="宋体"/>
          <w:kern w:val="0"/>
          <w:sz w:val="32"/>
          <w:szCs w:val="32"/>
        </w:rPr>
        <w:t>万元，占年初预算批复总额的</w:t>
      </w:r>
      <w:r>
        <w:rPr>
          <w:rFonts w:ascii="仿宋_GB2312" w:hAnsi="宋体" w:eastAsia="仿宋_GB2312" w:cs="宋体"/>
          <w:kern w:val="0"/>
          <w:sz w:val="32"/>
          <w:szCs w:val="32"/>
        </w:rPr>
        <w:t>5</w:t>
      </w:r>
      <w:r>
        <w:rPr>
          <w:rFonts w:hint="eastAsia" w:ascii="仿宋_GB2312" w:hAnsi="宋体" w:eastAsia="仿宋_GB2312" w:cs="宋体"/>
          <w:kern w:val="0"/>
          <w:sz w:val="32"/>
          <w:szCs w:val="32"/>
        </w:rPr>
        <w:t>.</w:t>
      </w:r>
      <w:r>
        <w:rPr>
          <w:rFonts w:ascii="仿宋_GB2312" w:hAnsi="宋体" w:eastAsia="仿宋_GB2312" w:cs="宋体"/>
          <w:kern w:val="0"/>
          <w:sz w:val="32"/>
          <w:szCs w:val="32"/>
        </w:rPr>
        <w:t>44</w:t>
      </w:r>
      <w:r>
        <w:rPr>
          <w:rFonts w:hint="eastAsia" w:ascii="仿宋_GB2312" w:hAnsi="宋体" w:eastAsia="仿宋_GB2312" w:cs="宋体"/>
          <w:kern w:val="0"/>
          <w:sz w:val="32"/>
          <w:szCs w:val="32"/>
        </w:rPr>
        <w:t>%。部门预决算差异率远低于市级平均差异率，部门预决算差异率控制情况较好，预算管理水平不断提升。</w:t>
      </w:r>
    </w:p>
    <w:p>
      <w:pPr>
        <w:pStyle w:val="2"/>
        <w:spacing w:before="217" w:after="217"/>
      </w:pPr>
      <w:r>
        <w:rPr>
          <w:rFonts w:hint="eastAsia"/>
        </w:rPr>
        <w:t>五、总体</w:t>
      </w:r>
      <w:r>
        <w:t>评价结论</w:t>
      </w:r>
      <w:bookmarkEnd w:id="13"/>
    </w:p>
    <w:p>
      <w:pPr>
        <w:pStyle w:val="3"/>
        <w:ind w:firstLine="643"/>
      </w:pPr>
      <w:bookmarkStart w:id="14" w:name="_Toc135004729"/>
      <w:r>
        <w:rPr>
          <w:rFonts w:hint="eastAsia"/>
        </w:rPr>
        <w:t>（一）评价</w:t>
      </w:r>
      <w:r>
        <w:t>得分</w:t>
      </w:r>
      <w:r>
        <w:rPr>
          <w:rFonts w:hint="eastAsia"/>
        </w:rPr>
        <w:t>情况</w:t>
      </w:r>
      <w:bookmarkEnd w:id="14"/>
    </w:p>
    <w:p>
      <w:pPr>
        <w:spacing w:line="600" w:lineRule="exact"/>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202</w:t>
      </w:r>
      <w:r>
        <w:rPr>
          <w:rFonts w:ascii="仿宋_GB2312" w:hAnsi="宋体" w:eastAsia="仿宋_GB2312" w:cs="宋体"/>
          <w:kern w:val="0"/>
          <w:sz w:val="32"/>
          <w:szCs w:val="32"/>
        </w:rPr>
        <w:t>3</w:t>
      </w:r>
      <w:r>
        <w:rPr>
          <w:rFonts w:hint="eastAsia" w:ascii="仿宋_GB2312" w:hAnsi="宋体" w:eastAsia="仿宋_GB2312" w:cs="宋体"/>
          <w:kern w:val="0"/>
          <w:sz w:val="32"/>
          <w:szCs w:val="32"/>
        </w:rPr>
        <w:t>年度市委统战部整体支出绩效评价综合得分9</w:t>
      </w:r>
      <w:r>
        <w:rPr>
          <w:rFonts w:ascii="仿宋_GB2312" w:hAnsi="宋体" w:eastAsia="仿宋_GB2312" w:cs="宋体"/>
          <w:kern w:val="0"/>
          <w:sz w:val="32"/>
          <w:szCs w:val="32"/>
        </w:rPr>
        <w:t>1</w:t>
      </w:r>
      <w:r>
        <w:rPr>
          <w:rFonts w:hint="eastAsia" w:ascii="仿宋_GB2312" w:hAnsi="宋体" w:eastAsia="仿宋_GB2312" w:cs="宋体"/>
          <w:kern w:val="0"/>
          <w:sz w:val="32"/>
          <w:szCs w:val="32"/>
        </w:rPr>
        <w:t>.</w:t>
      </w:r>
      <w:r>
        <w:rPr>
          <w:rFonts w:ascii="仿宋_GB2312" w:hAnsi="宋体" w:eastAsia="仿宋_GB2312" w:cs="宋体"/>
          <w:kern w:val="0"/>
          <w:sz w:val="32"/>
          <w:szCs w:val="32"/>
        </w:rPr>
        <w:t>33</w:t>
      </w:r>
      <w:r>
        <w:rPr>
          <w:rFonts w:hint="eastAsia" w:ascii="仿宋_GB2312" w:hAnsi="宋体" w:eastAsia="仿宋_GB2312" w:cs="宋体"/>
          <w:kern w:val="0"/>
          <w:sz w:val="32"/>
          <w:szCs w:val="32"/>
        </w:rPr>
        <w:t>分，其中当年预算执行情况19.</w:t>
      </w:r>
      <w:r>
        <w:rPr>
          <w:rFonts w:ascii="仿宋_GB2312" w:hAnsi="宋体" w:eastAsia="仿宋_GB2312" w:cs="宋体"/>
          <w:kern w:val="0"/>
          <w:sz w:val="32"/>
          <w:szCs w:val="32"/>
        </w:rPr>
        <w:t>33</w:t>
      </w:r>
      <w:r>
        <w:rPr>
          <w:rFonts w:hint="eastAsia" w:ascii="仿宋_GB2312" w:hAnsi="宋体" w:eastAsia="仿宋_GB2312" w:cs="宋体"/>
          <w:kern w:val="0"/>
          <w:sz w:val="32"/>
          <w:szCs w:val="32"/>
        </w:rPr>
        <w:t>分、整体绩效目标实现情况5</w:t>
      </w:r>
      <w:r>
        <w:rPr>
          <w:rFonts w:ascii="仿宋_GB2312" w:hAnsi="宋体" w:eastAsia="仿宋_GB2312" w:cs="宋体"/>
          <w:kern w:val="0"/>
          <w:sz w:val="32"/>
          <w:szCs w:val="32"/>
        </w:rPr>
        <w:t>3</w:t>
      </w:r>
      <w:r>
        <w:rPr>
          <w:rFonts w:hint="eastAsia" w:ascii="仿宋_GB2312" w:hAnsi="宋体" w:eastAsia="仿宋_GB2312" w:cs="宋体"/>
          <w:kern w:val="0"/>
          <w:sz w:val="32"/>
          <w:szCs w:val="32"/>
        </w:rPr>
        <w:t>.00分、预算管理情况</w:t>
      </w:r>
      <w:r>
        <w:rPr>
          <w:rFonts w:ascii="仿宋_GB2312" w:hAnsi="宋体" w:eastAsia="仿宋_GB2312" w:cs="宋体"/>
          <w:kern w:val="0"/>
          <w:sz w:val="32"/>
          <w:szCs w:val="32"/>
        </w:rPr>
        <w:t>19</w:t>
      </w:r>
      <w:r>
        <w:rPr>
          <w:rFonts w:hint="eastAsia" w:ascii="仿宋_GB2312" w:hAnsi="宋体" w:eastAsia="仿宋_GB2312" w:cs="宋体"/>
          <w:kern w:val="0"/>
          <w:sz w:val="32"/>
          <w:szCs w:val="32"/>
        </w:rPr>
        <w:t>.00分，绩效评定结论为“优”。具体情况详见下表。</w:t>
      </w:r>
    </w:p>
    <w:p>
      <w:pPr>
        <w:spacing w:line="600" w:lineRule="exact"/>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具体各指标得分情况如表</w:t>
      </w:r>
      <w:r>
        <w:rPr>
          <w:rFonts w:ascii="仿宋_GB2312" w:hAnsi="宋体" w:eastAsia="仿宋_GB2312" w:cs="宋体"/>
          <w:kern w:val="0"/>
          <w:sz w:val="32"/>
          <w:szCs w:val="32"/>
        </w:rPr>
        <w:t>1</w:t>
      </w:r>
      <w:r>
        <w:rPr>
          <w:rFonts w:hint="eastAsia" w:ascii="仿宋_GB2312" w:hAnsi="宋体" w:eastAsia="仿宋_GB2312" w:cs="宋体"/>
          <w:kern w:val="0"/>
          <w:sz w:val="32"/>
          <w:szCs w:val="32"/>
        </w:rPr>
        <w:t>所示。</w:t>
      </w:r>
    </w:p>
    <w:p>
      <w:pPr>
        <w:adjustRightInd w:val="0"/>
        <w:snapToGrid w:val="0"/>
        <w:spacing w:line="560" w:lineRule="exact"/>
        <w:jc w:val="center"/>
        <w:rPr>
          <w:rFonts w:ascii="仿宋_GB2312" w:hAnsi="仿宋" w:eastAsia="仿宋_GB2312" w:cs="仿宋"/>
          <w:sz w:val="24"/>
        </w:rPr>
      </w:pPr>
      <w:r>
        <w:rPr>
          <w:rFonts w:hint="eastAsia" w:ascii="仿宋_GB2312" w:hAnsi="仿宋" w:eastAsia="仿宋_GB2312" w:cs="仿宋"/>
          <w:sz w:val="24"/>
        </w:rPr>
        <w:t>表</w:t>
      </w:r>
      <w:r>
        <w:rPr>
          <w:rFonts w:ascii="仿宋_GB2312" w:hAnsi="仿宋" w:eastAsia="仿宋_GB2312" w:cs="仿宋"/>
          <w:sz w:val="24"/>
        </w:rPr>
        <w:t>1</w:t>
      </w:r>
      <w:r>
        <w:rPr>
          <w:rFonts w:hint="eastAsia" w:ascii="仿宋_GB2312" w:hAnsi="仿宋" w:eastAsia="仿宋_GB2312" w:cs="仿宋"/>
          <w:sz w:val="24"/>
        </w:rPr>
        <w:t>绩效评价各项指标得分情况表</w:t>
      </w:r>
    </w:p>
    <w:tbl>
      <w:tblPr>
        <w:tblStyle w:val="20"/>
        <w:tblW w:w="5000" w:type="pct"/>
        <w:tblInd w:w="0" w:type="dxa"/>
        <w:tblLayout w:type="autofit"/>
        <w:tblCellMar>
          <w:top w:w="0" w:type="dxa"/>
          <w:left w:w="108" w:type="dxa"/>
          <w:bottom w:w="0" w:type="dxa"/>
          <w:right w:w="108" w:type="dxa"/>
        </w:tblCellMar>
      </w:tblPr>
      <w:tblGrid>
        <w:gridCol w:w="1697"/>
        <w:gridCol w:w="2664"/>
        <w:gridCol w:w="1984"/>
        <w:gridCol w:w="2177"/>
      </w:tblGrid>
      <w:tr>
        <w:tblPrEx>
          <w:tblCellMar>
            <w:top w:w="0" w:type="dxa"/>
            <w:left w:w="108" w:type="dxa"/>
            <w:bottom w:w="0" w:type="dxa"/>
            <w:right w:w="108" w:type="dxa"/>
          </w:tblCellMar>
        </w:tblPrEx>
        <w:trPr>
          <w:trHeight w:val="397" w:hRule="exact"/>
        </w:trPr>
        <w:tc>
          <w:tcPr>
            <w:tcW w:w="996" w:type="pct"/>
            <w:tcBorders>
              <w:top w:val="single" w:color="auto" w:sz="4" w:space="0"/>
              <w:left w:val="single" w:color="auto" w:sz="4" w:space="0"/>
              <w:bottom w:val="single" w:color="auto" w:sz="4" w:space="0"/>
              <w:right w:val="single" w:color="auto" w:sz="4" w:space="0"/>
            </w:tcBorders>
            <w:shd w:val="clear" w:color="000000" w:fill="F2F2F2"/>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1563" w:type="pct"/>
            <w:tcBorders>
              <w:top w:val="single" w:color="auto" w:sz="4" w:space="0"/>
              <w:left w:val="nil"/>
              <w:bottom w:val="single" w:color="auto" w:sz="4" w:space="0"/>
              <w:right w:val="single" w:color="auto" w:sz="4" w:space="0"/>
            </w:tcBorders>
            <w:shd w:val="clear" w:color="000000" w:fill="F2F2F2"/>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一级指标</w:t>
            </w:r>
          </w:p>
        </w:tc>
        <w:tc>
          <w:tcPr>
            <w:tcW w:w="1164" w:type="pct"/>
            <w:tcBorders>
              <w:top w:val="single" w:color="auto" w:sz="4" w:space="0"/>
              <w:left w:val="nil"/>
              <w:bottom w:val="single" w:color="auto" w:sz="4" w:space="0"/>
              <w:right w:val="single" w:color="auto" w:sz="4" w:space="0"/>
            </w:tcBorders>
            <w:shd w:val="clear" w:color="000000" w:fill="F2F2F2"/>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分值</w:t>
            </w:r>
          </w:p>
        </w:tc>
        <w:tc>
          <w:tcPr>
            <w:tcW w:w="1277" w:type="pct"/>
            <w:tcBorders>
              <w:top w:val="single" w:color="auto" w:sz="4" w:space="0"/>
              <w:left w:val="nil"/>
              <w:bottom w:val="single" w:color="auto" w:sz="4" w:space="0"/>
              <w:right w:val="single" w:color="auto" w:sz="4" w:space="0"/>
            </w:tcBorders>
            <w:shd w:val="clear" w:color="000000" w:fill="F2F2F2"/>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得分</w:t>
            </w:r>
          </w:p>
        </w:tc>
      </w:tr>
      <w:tr>
        <w:tblPrEx>
          <w:tblCellMar>
            <w:top w:w="0" w:type="dxa"/>
            <w:left w:w="108" w:type="dxa"/>
            <w:bottom w:w="0" w:type="dxa"/>
            <w:right w:w="108" w:type="dxa"/>
          </w:tblCellMar>
        </w:tblPrEx>
        <w:trPr>
          <w:trHeight w:val="397" w:hRule="exact"/>
        </w:trPr>
        <w:tc>
          <w:tcPr>
            <w:tcW w:w="9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一</w:t>
            </w:r>
          </w:p>
        </w:tc>
        <w:tc>
          <w:tcPr>
            <w:tcW w:w="156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预算执行情况</w:t>
            </w:r>
          </w:p>
        </w:tc>
        <w:tc>
          <w:tcPr>
            <w:tcW w:w="1164"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w:t>
            </w:r>
          </w:p>
        </w:tc>
        <w:tc>
          <w:tcPr>
            <w:tcW w:w="1277"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19</w:t>
            </w:r>
            <w:r>
              <w:rPr>
                <w:rFonts w:ascii="等线" w:hAnsi="等线" w:eastAsia="等线" w:cs="宋体"/>
                <w:color w:val="000000"/>
                <w:kern w:val="0"/>
                <w:sz w:val="22"/>
                <w:szCs w:val="22"/>
              </w:rPr>
              <w:t>.33</w:t>
            </w:r>
          </w:p>
        </w:tc>
      </w:tr>
      <w:tr>
        <w:tblPrEx>
          <w:tblCellMar>
            <w:top w:w="0" w:type="dxa"/>
            <w:left w:w="108" w:type="dxa"/>
            <w:bottom w:w="0" w:type="dxa"/>
            <w:right w:w="108" w:type="dxa"/>
          </w:tblCellMar>
        </w:tblPrEx>
        <w:trPr>
          <w:trHeight w:val="397" w:hRule="exact"/>
        </w:trPr>
        <w:tc>
          <w:tcPr>
            <w:tcW w:w="9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二</w:t>
            </w:r>
          </w:p>
        </w:tc>
        <w:tc>
          <w:tcPr>
            <w:tcW w:w="156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整体绩效目标实现情况</w:t>
            </w:r>
          </w:p>
        </w:tc>
        <w:tc>
          <w:tcPr>
            <w:tcW w:w="1164"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60</w:t>
            </w:r>
          </w:p>
        </w:tc>
        <w:tc>
          <w:tcPr>
            <w:tcW w:w="1277"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53</w:t>
            </w:r>
          </w:p>
        </w:tc>
      </w:tr>
      <w:tr>
        <w:tblPrEx>
          <w:tblCellMar>
            <w:top w:w="0" w:type="dxa"/>
            <w:left w:w="108" w:type="dxa"/>
            <w:bottom w:w="0" w:type="dxa"/>
            <w:right w:w="108" w:type="dxa"/>
          </w:tblCellMar>
        </w:tblPrEx>
        <w:trPr>
          <w:trHeight w:val="397" w:hRule="exact"/>
        </w:trPr>
        <w:tc>
          <w:tcPr>
            <w:tcW w:w="9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三</w:t>
            </w:r>
          </w:p>
        </w:tc>
        <w:tc>
          <w:tcPr>
            <w:tcW w:w="156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预算管理情况</w:t>
            </w:r>
          </w:p>
        </w:tc>
        <w:tc>
          <w:tcPr>
            <w:tcW w:w="1164"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w:t>
            </w:r>
          </w:p>
        </w:tc>
        <w:tc>
          <w:tcPr>
            <w:tcW w:w="1277"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19</w:t>
            </w:r>
          </w:p>
        </w:tc>
      </w:tr>
      <w:tr>
        <w:tblPrEx>
          <w:tblCellMar>
            <w:top w:w="0" w:type="dxa"/>
            <w:left w:w="108" w:type="dxa"/>
            <w:bottom w:w="0" w:type="dxa"/>
            <w:right w:w="108" w:type="dxa"/>
          </w:tblCellMar>
        </w:tblPrEx>
        <w:trPr>
          <w:trHeight w:val="397" w:hRule="exact"/>
        </w:trPr>
        <w:tc>
          <w:tcPr>
            <w:tcW w:w="2559" w:type="pct"/>
            <w:gridSpan w:val="2"/>
            <w:tcBorders>
              <w:top w:val="single" w:color="auto" w:sz="4" w:space="0"/>
              <w:left w:val="single" w:color="auto" w:sz="4" w:space="0"/>
              <w:bottom w:val="single" w:color="auto" w:sz="4" w:space="0"/>
              <w:right w:val="single" w:color="000000" w:sz="4" w:space="0"/>
            </w:tcBorders>
            <w:shd w:val="clear" w:color="000000" w:fill="F2F2F2"/>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总计</w:t>
            </w:r>
          </w:p>
        </w:tc>
        <w:tc>
          <w:tcPr>
            <w:tcW w:w="1164" w:type="pct"/>
            <w:tcBorders>
              <w:top w:val="nil"/>
              <w:left w:val="nil"/>
              <w:bottom w:val="single" w:color="auto" w:sz="4" w:space="0"/>
              <w:right w:val="single" w:color="auto" w:sz="4" w:space="0"/>
            </w:tcBorders>
            <w:shd w:val="clear" w:color="000000" w:fill="F2F2F2"/>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100</w:t>
            </w:r>
          </w:p>
        </w:tc>
        <w:tc>
          <w:tcPr>
            <w:tcW w:w="1277" w:type="pct"/>
            <w:tcBorders>
              <w:top w:val="nil"/>
              <w:left w:val="nil"/>
              <w:bottom w:val="single" w:color="auto" w:sz="4" w:space="0"/>
              <w:right w:val="single" w:color="auto" w:sz="4" w:space="0"/>
            </w:tcBorders>
            <w:shd w:val="clear" w:color="000000" w:fill="F2F2F2"/>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9</w:t>
            </w:r>
            <w:r>
              <w:rPr>
                <w:rFonts w:ascii="等线" w:hAnsi="等线" w:eastAsia="等线" w:cs="宋体"/>
                <w:color w:val="000000"/>
                <w:kern w:val="0"/>
                <w:sz w:val="22"/>
                <w:szCs w:val="22"/>
              </w:rPr>
              <w:t>1</w:t>
            </w:r>
            <w:r>
              <w:rPr>
                <w:rFonts w:hint="eastAsia" w:ascii="等线" w:hAnsi="等线" w:eastAsia="等线" w:cs="宋体"/>
                <w:color w:val="000000"/>
                <w:kern w:val="0"/>
                <w:sz w:val="22"/>
                <w:szCs w:val="22"/>
              </w:rPr>
              <w:t>.3</w:t>
            </w:r>
            <w:r>
              <w:rPr>
                <w:rFonts w:ascii="等线" w:hAnsi="等线" w:eastAsia="等线" w:cs="宋体"/>
                <w:color w:val="000000"/>
                <w:kern w:val="0"/>
                <w:sz w:val="22"/>
                <w:szCs w:val="22"/>
              </w:rPr>
              <w:t>3</w:t>
            </w:r>
          </w:p>
        </w:tc>
      </w:tr>
    </w:tbl>
    <w:p>
      <w:pPr>
        <w:pStyle w:val="3"/>
        <w:ind w:firstLine="643"/>
      </w:pPr>
      <w:bookmarkStart w:id="15" w:name="_Toc135004730"/>
      <w:r>
        <w:rPr>
          <w:rFonts w:hint="eastAsia"/>
        </w:rPr>
        <w:t>（二）存在的问题及原因分析</w:t>
      </w:r>
      <w:bookmarkEnd w:id="15"/>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存在的问题</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（1）绩效目标的设定不够具体、细致，可量化程度不足。</w:t>
      </w:r>
      <w:r>
        <w:rPr>
          <w:rFonts w:hint="eastAsia" w:ascii="仿宋_GB2312" w:hAnsi="宋体" w:eastAsia="仿宋_GB2312" w:cs="宋体"/>
          <w:color w:val="000000"/>
          <w:kern w:val="0"/>
          <w:sz w:val="32"/>
          <w:szCs w:val="32"/>
          <w:lang w:val="en-US" w:eastAsia="zh-CN"/>
        </w:rPr>
        <w:t>个别</w:t>
      </w:r>
      <w:r>
        <w:rPr>
          <w:rFonts w:hint="eastAsia" w:ascii="仿宋_GB2312" w:hAnsi="宋体" w:eastAsia="仿宋_GB2312" w:cs="宋体"/>
          <w:color w:val="000000"/>
          <w:kern w:val="0"/>
          <w:sz w:val="32"/>
          <w:szCs w:val="32"/>
        </w:rPr>
        <w:t>项目的指标设定过于宽泛，不具有可衡量性，部分指标设定不够全面。</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（2）项目过程资料未及时归集整理。</w:t>
      </w:r>
      <w:r>
        <w:rPr>
          <w:rFonts w:hint="eastAsia" w:ascii="仿宋_GB2312" w:hAnsi="宋体" w:eastAsia="仿宋_GB2312" w:cs="宋体"/>
          <w:color w:val="000000"/>
          <w:kern w:val="0"/>
          <w:sz w:val="32"/>
          <w:szCs w:val="32"/>
          <w:lang w:val="en-US" w:eastAsia="zh-CN"/>
        </w:rPr>
        <w:t>个别</w:t>
      </w:r>
      <w:r>
        <w:rPr>
          <w:rFonts w:hint="eastAsia" w:ascii="仿宋_GB2312" w:hAnsi="宋体" w:eastAsia="仿宋_GB2312" w:cs="宋体"/>
          <w:color w:val="000000"/>
          <w:kern w:val="0"/>
          <w:sz w:val="32"/>
          <w:szCs w:val="32"/>
        </w:rPr>
        <w:t>项目未及时、完整地收集项目过程的文件资料，导致项目决策、管理以及绩效信息未能完整、充分体现。</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原因分析</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（1）预算申报较早，具体的重点工作和核心内容难以明确。</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（2）个别项目具体承担部门绩效意识不够强，对于绩效管理的过程控制方式和资料归集规范掌握不够。</w:t>
      </w:r>
    </w:p>
    <w:p>
      <w:pPr>
        <w:pStyle w:val="2"/>
        <w:spacing w:before="217" w:after="217"/>
      </w:pPr>
      <w:bookmarkStart w:id="16" w:name="_Toc135004731"/>
      <w:r>
        <w:rPr>
          <w:rFonts w:hint="eastAsia"/>
        </w:rPr>
        <w:t>六、措施建议</w:t>
      </w:r>
      <w:bookmarkEnd w:id="16"/>
    </w:p>
    <w:p>
      <w:pPr>
        <w:adjustRightInd w:val="0"/>
        <w:snapToGrid w:val="0"/>
        <w:spacing w:line="360" w:lineRule="auto"/>
        <w:ind w:firstLine="640" w:firstLineChars="200"/>
        <w:rPr>
          <w:rFonts w:ascii="仿宋_GB2312" w:hAnsi="宋体" w:eastAsia="仿宋_GB2312" w:cs="宋体"/>
          <w:color w:val="000000"/>
          <w:kern w:val="0"/>
          <w:sz w:val="32"/>
          <w:szCs w:val="32"/>
        </w:rPr>
      </w:pPr>
      <w:bookmarkStart w:id="17" w:name="_Toc103006301"/>
      <w:bookmarkStart w:id="18" w:name="_Toc135004732"/>
      <w:r>
        <w:rPr>
          <w:rFonts w:hint="eastAsia" w:ascii="仿宋_GB2312" w:hAnsi="宋体" w:eastAsia="仿宋_GB2312" w:cs="宋体"/>
          <w:color w:val="000000"/>
          <w:kern w:val="0"/>
          <w:sz w:val="32"/>
          <w:szCs w:val="32"/>
        </w:rPr>
        <w:t>1.强化绩效理念，深入推进评价工作</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进一步强化各部门绩效管理理念，把财政绩效评价作为一项重要工作来抓，深入推进绩效管理工作。建议</w:t>
      </w:r>
      <w:r>
        <w:rPr>
          <w:rFonts w:hint="eastAsia" w:ascii="仿宋_GB2312" w:hAnsi="宋体" w:eastAsia="仿宋_GB2312" w:cs="宋体"/>
          <w:kern w:val="0"/>
          <w:sz w:val="32"/>
          <w:szCs w:val="32"/>
        </w:rPr>
        <w:t>围绕核心工作，从中概括、提炼出最能反映项目预期实现程度的关键性指标，将其确定为相应的绩效指标，并通过收集资料相关基础数据，确定绩效标准，确定绩效指标的具体数值。</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2.加强绩效目标论证，增加绩效目标的可量化性</w:t>
      </w:r>
    </w:p>
    <w:p>
      <w:pPr>
        <w:adjustRightInd w:val="0"/>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建议在编制绩效指标时，加强需求调研及项目前期论证，对项目实施过程中可能出现的潜在风险合理预判，督促项目实施进度，切实</w:t>
      </w:r>
      <w:bookmarkStart w:id="19" w:name="_GoBack"/>
      <w:bookmarkEnd w:id="19"/>
      <w:r>
        <w:rPr>
          <w:rFonts w:hint="eastAsia" w:ascii="仿宋_GB2312" w:hAnsi="宋体" w:eastAsia="仿宋_GB2312" w:cs="宋体"/>
          <w:kern w:val="0"/>
          <w:sz w:val="32"/>
          <w:szCs w:val="32"/>
        </w:rPr>
        <w:t>保障项目有序、有效运行。</w:t>
      </w:r>
    </w:p>
    <w:p>
      <w:pPr>
        <w:pStyle w:val="2"/>
        <w:spacing w:before="217" w:after="217"/>
        <w:rPr>
          <w:szCs w:val="32"/>
        </w:rPr>
      </w:pPr>
      <w:r>
        <w:rPr>
          <w:rFonts w:hint="eastAsia"/>
          <w:szCs w:val="32"/>
        </w:rPr>
        <w:t>七、附件</w:t>
      </w:r>
      <w:bookmarkEnd w:id="17"/>
      <w:bookmarkEnd w:id="18"/>
    </w:p>
    <w:p>
      <w:pPr>
        <w:spacing w:line="600" w:lineRule="exact"/>
        <w:ind w:firstLine="641"/>
        <w:rPr>
          <w:rFonts w:ascii="仿宋_GB2312" w:hAnsi="仿宋_GB2312" w:eastAsia="仿宋_GB2312" w:cs="仿宋_GB2312"/>
          <w:sz w:val="32"/>
          <w:szCs w:val="32"/>
        </w:rPr>
        <w:sectPr>
          <w:pgSz w:w="11906" w:h="16838"/>
          <w:pgMar w:top="1440" w:right="1800" w:bottom="1440" w:left="1800" w:header="851" w:footer="964" w:gutter="0"/>
          <w:pgNumType w:start="1"/>
          <w:cols w:space="425" w:num="1"/>
          <w:docGrid w:type="lines" w:linePitch="435" w:charSpace="0"/>
        </w:sect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年部门整体绩效评价指标体系评分表</w:t>
      </w:r>
    </w:p>
    <w:p>
      <w:pPr>
        <w:spacing w:line="560" w:lineRule="exact"/>
        <w:jc w:val="left"/>
        <w:rPr>
          <w:rFonts w:ascii="方正黑体_GBK" w:hAnsi="方正黑体_GBK" w:eastAsia="方正黑体_GBK" w:cs="方正黑体_GBK"/>
          <w:sz w:val="32"/>
        </w:rPr>
      </w:pPr>
      <w:r>
        <w:rPr>
          <w:rFonts w:hint="eastAsia" w:ascii="方正黑体_GBK" w:hAnsi="方正黑体_GBK" w:eastAsia="方正黑体_GBK" w:cs="方正黑体_GBK"/>
          <w:sz w:val="32"/>
        </w:rPr>
        <w:t>附件</w:t>
      </w:r>
    </w:p>
    <w:tbl>
      <w:tblPr>
        <w:tblStyle w:val="20"/>
        <w:tblW w:w="5000" w:type="pct"/>
        <w:tblInd w:w="0" w:type="dxa"/>
        <w:tblLayout w:type="fixed"/>
        <w:tblCellMar>
          <w:top w:w="0" w:type="dxa"/>
          <w:left w:w="108" w:type="dxa"/>
          <w:bottom w:w="0" w:type="dxa"/>
          <w:right w:w="108" w:type="dxa"/>
        </w:tblCellMar>
      </w:tblPr>
      <w:tblGrid>
        <w:gridCol w:w="1074"/>
        <w:gridCol w:w="1083"/>
        <w:gridCol w:w="1429"/>
        <w:gridCol w:w="1253"/>
        <w:gridCol w:w="819"/>
        <w:gridCol w:w="689"/>
        <w:gridCol w:w="907"/>
        <w:gridCol w:w="3507"/>
        <w:gridCol w:w="3413"/>
      </w:tblGrid>
      <w:tr>
        <w:tblPrEx>
          <w:tblCellMar>
            <w:top w:w="0" w:type="dxa"/>
            <w:left w:w="108" w:type="dxa"/>
            <w:bottom w:w="0" w:type="dxa"/>
            <w:right w:w="108" w:type="dxa"/>
          </w:tblCellMar>
        </w:tblPrEx>
        <w:trPr>
          <w:cantSplit/>
          <w:trHeight w:val="90" w:hRule="atLeast"/>
        </w:trPr>
        <w:tc>
          <w:tcPr>
            <w:tcW w:w="5000" w:type="pct"/>
            <w:gridSpan w:val="9"/>
            <w:tcBorders>
              <w:top w:val="nil"/>
              <w:left w:val="nil"/>
              <w:bottom w:val="single" w:color="auto" w:sz="4" w:space="0"/>
              <w:right w:val="nil"/>
            </w:tcBorders>
            <w:noWrap/>
            <w:vAlign w:val="bottom"/>
          </w:tcPr>
          <w:p>
            <w:pPr>
              <w:widowControl/>
              <w:jc w:val="center"/>
              <w:rPr>
                <w:rFonts w:ascii="方正小标宋简体" w:hAnsi="黑体" w:eastAsia="方正小标宋简体" w:cs="宋体"/>
                <w:color w:val="000000"/>
                <w:kern w:val="0"/>
                <w:sz w:val="44"/>
                <w:szCs w:val="44"/>
                <w:highlight w:val="yellow"/>
              </w:rPr>
            </w:pPr>
            <w:r>
              <w:rPr>
                <w:rFonts w:hint="eastAsia" w:ascii="方正小标宋简体" w:hAnsi="黑体" w:eastAsia="方正小标宋简体" w:cs="宋体"/>
                <w:color w:val="000000"/>
                <w:kern w:val="0"/>
                <w:sz w:val="44"/>
                <w:szCs w:val="44"/>
              </w:rPr>
              <w:t>202</w:t>
            </w:r>
            <w:r>
              <w:rPr>
                <w:rFonts w:ascii="方正小标宋简体" w:hAnsi="黑体" w:eastAsia="方正小标宋简体" w:cs="宋体"/>
                <w:color w:val="000000"/>
                <w:kern w:val="0"/>
                <w:sz w:val="44"/>
                <w:szCs w:val="44"/>
              </w:rPr>
              <w:t>3</w:t>
            </w:r>
            <w:r>
              <w:rPr>
                <w:rFonts w:hint="eastAsia" w:ascii="方正小标宋简体" w:hAnsi="黑体" w:eastAsia="方正小标宋简体" w:cs="宋体"/>
                <w:color w:val="000000"/>
                <w:kern w:val="0"/>
                <w:sz w:val="44"/>
                <w:szCs w:val="44"/>
              </w:rPr>
              <w:t>年部门整体绩效评价指标体系评分表</w:t>
            </w:r>
          </w:p>
        </w:tc>
      </w:tr>
      <w:tr>
        <w:tblPrEx>
          <w:tblCellMar>
            <w:top w:w="0" w:type="dxa"/>
            <w:left w:w="108" w:type="dxa"/>
            <w:bottom w:w="0" w:type="dxa"/>
            <w:right w:w="108" w:type="dxa"/>
          </w:tblCellMar>
        </w:tblPrEx>
        <w:trPr>
          <w:cantSplit/>
          <w:trHeight w:val="470" w:hRule="atLeast"/>
        </w:trPr>
        <w:tc>
          <w:tcPr>
            <w:tcW w:w="5000" w:type="pct"/>
            <w:gridSpan w:val="9"/>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tblPrEx>
          <w:tblCellMar>
            <w:top w:w="0" w:type="dxa"/>
            <w:left w:w="108" w:type="dxa"/>
            <w:bottom w:w="0" w:type="dxa"/>
            <w:right w:w="108" w:type="dxa"/>
          </w:tblCellMar>
        </w:tblPrEx>
        <w:trPr>
          <w:cantSplit/>
          <w:trHeight w:val="660" w:hRule="atLeast"/>
        </w:trPr>
        <w:tc>
          <w:tcPr>
            <w:tcW w:w="37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38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50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预算数（万元）</w:t>
            </w:r>
          </w:p>
        </w:tc>
        <w:tc>
          <w:tcPr>
            <w:tcW w:w="44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执行数（万元）</w:t>
            </w:r>
          </w:p>
        </w:tc>
        <w:tc>
          <w:tcPr>
            <w:tcW w:w="28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24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32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指标解释</w:t>
            </w:r>
          </w:p>
        </w:tc>
        <w:tc>
          <w:tcPr>
            <w:tcW w:w="12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r>
      <w:tr>
        <w:tblPrEx>
          <w:tblCellMar>
            <w:top w:w="0" w:type="dxa"/>
            <w:left w:w="108" w:type="dxa"/>
            <w:bottom w:w="0" w:type="dxa"/>
            <w:right w:w="108" w:type="dxa"/>
          </w:tblCellMar>
        </w:tblPrEx>
        <w:trPr>
          <w:cantSplit/>
          <w:trHeight w:val="881" w:hRule="atLeast"/>
        </w:trPr>
        <w:tc>
          <w:tcPr>
            <w:tcW w:w="379"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38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资金总体</w:t>
            </w:r>
          </w:p>
        </w:tc>
        <w:tc>
          <w:tcPr>
            <w:tcW w:w="50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11920.15</w:t>
            </w:r>
          </w:p>
        </w:tc>
        <w:tc>
          <w:tcPr>
            <w:tcW w:w="44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11519.83</w:t>
            </w:r>
          </w:p>
        </w:tc>
        <w:tc>
          <w:tcPr>
            <w:tcW w:w="28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Theme="minorEastAsia" w:hAnsiTheme="minorEastAsia" w:eastAsiaTheme="minorEastAsia"/>
                <w:sz w:val="18"/>
                <w:szCs w:val="18"/>
              </w:rPr>
              <w:t>96.64%</w:t>
            </w:r>
            <w:r>
              <w:rPr>
                <w:rFonts w:hint="eastAsia" w:ascii="宋体" w:hAnsi="宋体" w:cs="宋体"/>
                <w:color w:val="000000"/>
                <w:kern w:val="0"/>
                <w:sz w:val="18"/>
                <w:szCs w:val="18"/>
              </w:rPr>
              <w:t>　</w:t>
            </w:r>
          </w:p>
        </w:tc>
        <w:tc>
          <w:tcPr>
            <w:tcW w:w="243"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320"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9.33</w:t>
            </w:r>
            <w:r>
              <w:rPr>
                <w:rFonts w:hint="eastAsia" w:ascii="宋体" w:hAnsi="宋体" w:cs="宋体"/>
                <w:color w:val="000000"/>
                <w:kern w:val="0"/>
                <w:sz w:val="20"/>
                <w:szCs w:val="20"/>
              </w:rPr>
              <w:t>　</w:t>
            </w:r>
          </w:p>
        </w:tc>
        <w:tc>
          <w:tcPr>
            <w:tcW w:w="1237"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1205" w:type="pct"/>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①得分一档最高不能超过该指标分值上限（20分）。</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CellMar>
            <w:top w:w="0" w:type="dxa"/>
            <w:left w:w="108" w:type="dxa"/>
            <w:bottom w:w="0" w:type="dxa"/>
            <w:right w:w="108" w:type="dxa"/>
          </w:tblCellMar>
        </w:tblPrEx>
        <w:trPr>
          <w:cantSplit/>
          <w:trHeight w:val="1230" w:hRule="atLeast"/>
        </w:trPr>
        <w:tc>
          <w:tcPr>
            <w:tcW w:w="3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82" w:type="pct"/>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基本支出</w:t>
            </w:r>
          </w:p>
        </w:tc>
        <w:tc>
          <w:tcPr>
            <w:tcW w:w="50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8022.11</w:t>
            </w:r>
          </w:p>
        </w:tc>
        <w:tc>
          <w:tcPr>
            <w:tcW w:w="44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7856.05</w:t>
            </w:r>
            <w:r>
              <w:rPr>
                <w:rFonts w:hint="eastAsia" w:ascii="宋体" w:hAnsi="宋体" w:cs="宋体"/>
                <w:color w:val="000000"/>
                <w:kern w:val="0"/>
                <w:sz w:val="20"/>
                <w:szCs w:val="20"/>
              </w:rPr>
              <w:t>　</w:t>
            </w:r>
          </w:p>
        </w:tc>
        <w:tc>
          <w:tcPr>
            <w:tcW w:w="28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20" w:type="pct"/>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12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0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1338" w:hRule="atLeast"/>
        </w:trPr>
        <w:tc>
          <w:tcPr>
            <w:tcW w:w="3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82" w:type="pct"/>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项目支出</w:t>
            </w:r>
          </w:p>
        </w:tc>
        <w:tc>
          <w:tcPr>
            <w:tcW w:w="50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3898.04</w:t>
            </w:r>
            <w:r>
              <w:rPr>
                <w:rFonts w:hint="eastAsia" w:ascii="宋体" w:hAnsi="宋体" w:cs="宋体"/>
                <w:color w:val="000000"/>
                <w:kern w:val="0"/>
                <w:sz w:val="20"/>
                <w:szCs w:val="20"/>
              </w:rPr>
              <w:t>　</w:t>
            </w:r>
          </w:p>
        </w:tc>
        <w:tc>
          <w:tcPr>
            <w:tcW w:w="44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3663.78</w:t>
            </w:r>
            <w:r>
              <w:rPr>
                <w:rFonts w:hint="eastAsia" w:ascii="宋体" w:hAnsi="宋体" w:cs="宋体"/>
                <w:color w:val="000000"/>
                <w:kern w:val="0"/>
                <w:sz w:val="20"/>
                <w:szCs w:val="20"/>
              </w:rPr>
              <w:t>　</w:t>
            </w:r>
          </w:p>
        </w:tc>
        <w:tc>
          <w:tcPr>
            <w:tcW w:w="28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20" w:type="pct"/>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12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0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2136" w:hRule="atLeast"/>
        </w:trPr>
        <w:tc>
          <w:tcPr>
            <w:tcW w:w="3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8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5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0</w:t>
            </w:r>
          </w:p>
        </w:tc>
        <w:tc>
          <w:tcPr>
            <w:tcW w:w="44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8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20" w:type="pct"/>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12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0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479" w:hRule="atLeast"/>
        </w:trPr>
        <w:tc>
          <w:tcPr>
            <w:tcW w:w="5000" w:type="pct"/>
            <w:gridSpan w:val="9"/>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tblPrEx>
          <w:tblCellMar>
            <w:top w:w="0" w:type="dxa"/>
            <w:left w:w="108" w:type="dxa"/>
            <w:bottom w:w="0" w:type="dxa"/>
            <w:right w:w="108" w:type="dxa"/>
          </w:tblCellMar>
        </w:tblPrEx>
        <w:trPr>
          <w:cantSplit/>
          <w:trHeight w:val="499" w:hRule="atLeast"/>
        </w:trPr>
        <w:tc>
          <w:tcPr>
            <w:tcW w:w="37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38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5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44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指标值</w:t>
            </w:r>
          </w:p>
        </w:tc>
        <w:tc>
          <w:tcPr>
            <w:tcW w:w="28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完成值</w:t>
            </w:r>
          </w:p>
        </w:tc>
        <w:tc>
          <w:tcPr>
            <w:tcW w:w="24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320" w:type="pct"/>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2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cantSplit/>
          <w:trHeight w:val="1196" w:hRule="atLeast"/>
        </w:trPr>
        <w:tc>
          <w:tcPr>
            <w:tcW w:w="37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382" w:type="pct"/>
            <w:vMerge w:val="restart"/>
            <w:tcBorders>
              <w:top w:val="single" w:color="auto" w:sz="4" w:space="0"/>
              <w:left w:val="nil"/>
              <w:right w:val="single" w:color="auto" w:sz="4" w:space="0"/>
            </w:tcBorders>
            <w:vAlign w:val="center"/>
          </w:tcPr>
          <w:p>
            <w:pPr>
              <w:widowControl/>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产出（30）</w:t>
            </w:r>
          </w:p>
        </w:tc>
        <w:tc>
          <w:tcPr>
            <w:tcW w:w="504"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sz w:val="18"/>
                <w:szCs w:val="18"/>
              </w:rPr>
              <w:t>开展信息工作和调查研究</w:t>
            </w:r>
          </w:p>
        </w:tc>
        <w:tc>
          <w:tcPr>
            <w:tcW w:w="442" w:type="pct"/>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cs="宋体"/>
                <w:color w:val="000000"/>
                <w:kern w:val="0"/>
                <w:sz w:val="20"/>
                <w:szCs w:val="20"/>
              </w:rPr>
            </w:pPr>
            <w:r>
              <w:rPr>
                <w:rFonts w:hint="eastAsia" w:asciiTheme="minorEastAsia" w:hAnsiTheme="minorEastAsia" w:eastAsiaTheme="minorEastAsia"/>
                <w:sz w:val="20"/>
                <w:szCs w:val="20"/>
              </w:rPr>
              <w:t>完成各项年度工作任务。</w:t>
            </w:r>
          </w:p>
        </w:tc>
        <w:tc>
          <w:tcPr>
            <w:tcW w:w="289"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完成　</w:t>
            </w:r>
          </w:p>
        </w:tc>
        <w:tc>
          <w:tcPr>
            <w:tcW w:w="243" w:type="pct"/>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320" w:type="pct"/>
            <w:tcBorders>
              <w:top w:val="single" w:color="auto" w:sz="4" w:space="0"/>
              <w:left w:val="nil"/>
              <w:bottom w:val="single" w:color="auto" w:sz="4" w:space="0"/>
              <w:right w:val="nil"/>
            </w:tcBorders>
            <w:vAlign w:val="center"/>
          </w:tcPr>
          <w:p>
            <w:pPr>
              <w:jc w:val="center"/>
              <w:rPr>
                <w:rFonts w:ascii="宋体" w:hAnsi="宋体" w:cs="宋体"/>
                <w:color w:val="000000"/>
                <w:kern w:val="0"/>
                <w:sz w:val="20"/>
                <w:szCs w:val="20"/>
              </w:rPr>
            </w:pPr>
            <w:r>
              <w:rPr>
                <w:rFonts w:ascii="宋体" w:hAnsi="宋体" w:cs="宋体"/>
                <w:color w:val="000000"/>
                <w:kern w:val="0"/>
                <w:sz w:val="20"/>
                <w:szCs w:val="20"/>
              </w:rPr>
              <w:t>5</w:t>
            </w:r>
          </w:p>
        </w:tc>
        <w:tc>
          <w:tcPr>
            <w:tcW w:w="1237"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120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CellMar>
            <w:top w:w="0" w:type="dxa"/>
            <w:left w:w="108" w:type="dxa"/>
            <w:bottom w:w="0" w:type="dxa"/>
            <w:right w:w="108" w:type="dxa"/>
          </w:tblCellMar>
        </w:tblPrEx>
        <w:trPr>
          <w:cantSplit/>
          <w:trHeight w:val="1196" w:hRule="atLeast"/>
        </w:trPr>
        <w:tc>
          <w:tcPr>
            <w:tcW w:w="37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382" w:type="pct"/>
            <w:vMerge w:val="continue"/>
            <w:tcBorders>
              <w:top w:val="single" w:color="auto" w:sz="4" w:space="0"/>
              <w:left w:val="nil"/>
              <w:right w:val="single" w:color="auto" w:sz="4" w:space="0"/>
            </w:tcBorders>
            <w:vAlign w:val="center"/>
          </w:tcPr>
          <w:p>
            <w:pPr>
              <w:widowControl/>
              <w:jc w:val="center"/>
              <w:rPr>
                <w:rFonts w:ascii="宋体" w:hAnsi="宋体" w:cs="宋体"/>
                <w:color w:val="000000"/>
                <w:kern w:val="0"/>
                <w:sz w:val="20"/>
                <w:szCs w:val="20"/>
              </w:rPr>
            </w:pPr>
          </w:p>
        </w:tc>
        <w:tc>
          <w:tcPr>
            <w:tcW w:w="5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sz w:val="18"/>
                <w:szCs w:val="18"/>
              </w:rPr>
              <w:t>完成市统战系统培训</w:t>
            </w:r>
          </w:p>
        </w:tc>
        <w:tc>
          <w:tcPr>
            <w:tcW w:w="442" w:type="pct"/>
            <w:tcBorders>
              <w:top w:val="single" w:color="auto" w:sz="4" w:space="0"/>
              <w:left w:val="nil"/>
              <w:bottom w:val="single" w:color="auto" w:sz="4" w:space="0"/>
              <w:right w:val="single" w:color="auto" w:sz="4" w:space="0"/>
            </w:tcBorders>
            <w:vAlign w:val="center"/>
          </w:tcPr>
          <w:p>
            <w:pPr>
              <w:adjustRightInd w:val="0"/>
              <w:snapToGrid w:val="0"/>
              <w:jc w:val="left"/>
              <w:rPr>
                <w:rFonts w:asciiTheme="minorEastAsia" w:hAnsiTheme="minorEastAsia" w:eastAsiaTheme="minorEastAsia"/>
                <w:sz w:val="20"/>
                <w:szCs w:val="20"/>
              </w:rPr>
            </w:pPr>
            <w:r>
              <w:rPr>
                <w:rFonts w:hint="eastAsia" w:asciiTheme="minorEastAsia" w:hAnsiTheme="minorEastAsia" w:eastAsiaTheme="minorEastAsia"/>
                <w:sz w:val="20"/>
                <w:szCs w:val="20"/>
              </w:rPr>
              <w:t>按计划完成全年各类统战系统培训工作</w:t>
            </w:r>
          </w:p>
        </w:tc>
        <w:tc>
          <w:tcPr>
            <w:tcW w:w="289" w:type="pct"/>
            <w:tcBorders>
              <w:top w:val="single" w:color="auto" w:sz="4" w:space="0"/>
              <w:left w:val="nil"/>
              <w:bottom w:val="single" w:color="auto" w:sz="4" w:space="0"/>
              <w:right w:val="single" w:color="auto" w:sz="4" w:space="0"/>
            </w:tcBorders>
          </w:tcPr>
          <w:p>
            <w:pPr>
              <w:jc w:val="center"/>
              <w:rPr>
                <w:rFonts w:ascii="宋体" w:hAnsi="宋体" w:cs="宋体"/>
                <w:color w:val="000000"/>
                <w:kern w:val="0"/>
                <w:sz w:val="20"/>
                <w:szCs w:val="20"/>
              </w:rPr>
            </w:pPr>
            <w:r>
              <w:rPr>
                <w:rFonts w:hint="eastAsia" w:ascii="宋体" w:hAnsi="宋体" w:cs="宋体"/>
                <w:color w:val="000000"/>
                <w:kern w:val="0"/>
                <w:sz w:val="20"/>
                <w:szCs w:val="20"/>
              </w:rPr>
              <w:t>完成</w:t>
            </w:r>
          </w:p>
        </w:tc>
        <w:tc>
          <w:tcPr>
            <w:tcW w:w="243" w:type="pct"/>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320" w:type="pct"/>
            <w:tcBorders>
              <w:top w:val="single" w:color="auto" w:sz="4" w:space="0"/>
              <w:left w:val="nil"/>
              <w:bottom w:val="single" w:color="auto" w:sz="4" w:space="0"/>
              <w:right w:val="nil"/>
            </w:tcBorders>
            <w:vAlign w:val="center"/>
          </w:tcPr>
          <w:p>
            <w:pPr>
              <w:jc w:val="center"/>
              <w:rPr>
                <w:rFonts w:ascii="宋体" w:hAnsi="宋体" w:cs="宋体"/>
                <w:color w:val="000000"/>
                <w:kern w:val="0"/>
                <w:sz w:val="20"/>
                <w:szCs w:val="20"/>
              </w:rPr>
            </w:pPr>
            <w:r>
              <w:rPr>
                <w:rFonts w:ascii="宋体" w:hAnsi="宋体" w:cs="宋体"/>
                <w:color w:val="000000"/>
                <w:kern w:val="0"/>
                <w:sz w:val="20"/>
                <w:szCs w:val="20"/>
              </w:rPr>
              <w:t>4</w:t>
            </w:r>
          </w:p>
        </w:tc>
        <w:tc>
          <w:tcPr>
            <w:tcW w:w="12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20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1196" w:hRule="atLeast"/>
        </w:trPr>
        <w:tc>
          <w:tcPr>
            <w:tcW w:w="37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382" w:type="pct"/>
            <w:vMerge w:val="continue"/>
            <w:tcBorders>
              <w:top w:val="single" w:color="auto" w:sz="4" w:space="0"/>
              <w:left w:val="nil"/>
              <w:right w:val="single" w:color="auto" w:sz="4" w:space="0"/>
            </w:tcBorders>
            <w:vAlign w:val="center"/>
          </w:tcPr>
          <w:p>
            <w:pPr>
              <w:widowControl/>
              <w:jc w:val="center"/>
              <w:rPr>
                <w:rFonts w:ascii="宋体" w:hAnsi="宋体" w:cs="宋体"/>
                <w:color w:val="000000"/>
                <w:kern w:val="0"/>
                <w:sz w:val="20"/>
                <w:szCs w:val="20"/>
              </w:rPr>
            </w:pPr>
          </w:p>
        </w:tc>
        <w:tc>
          <w:tcPr>
            <w:tcW w:w="5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sz w:val="18"/>
                <w:szCs w:val="18"/>
              </w:rPr>
              <w:t>开展信息系统运行维护</w:t>
            </w:r>
          </w:p>
        </w:tc>
        <w:tc>
          <w:tcPr>
            <w:tcW w:w="442" w:type="pct"/>
            <w:tcBorders>
              <w:top w:val="single" w:color="auto" w:sz="4" w:space="0"/>
              <w:left w:val="nil"/>
              <w:bottom w:val="single" w:color="auto" w:sz="4" w:space="0"/>
              <w:right w:val="single" w:color="auto" w:sz="4" w:space="0"/>
            </w:tcBorders>
            <w:vAlign w:val="center"/>
          </w:tcPr>
          <w:p>
            <w:pPr>
              <w:adjustRightInd w:val="0"/>
              <w:snapToGrid w:val="0"/>
              <w:jc w:val="left"/>
              <w:rPr>
                <w:rFonts w:asciiTheme="minorEastAsia" w:hAnsiTheme="minorEastAsia" w:eastAsiaTheme="minorEastAsia"/>
                <w:sz w:val="20"/>
                <w:szCs w:val="20"/>
              </w:rPr>
            </w:pPr>
            <w:r>
              <w:rPr>
                <w:rFonts w:hint="eastAsia" w:asciiTheme="minorEastAsia" w:hAnsiTheme="minorEastAsia" w:eastAsiaTheme="minorEastAsia"/>
                <w:sz w:val="20"/>
                <w:szCs w:val="20"/>
              </w:rPr>
              <w:t>运行稳定</w:t>
            </w:r>
          </w:p>
        </w:tc>
        <w:tc>
          <w:tcPr>
            <w:tcW w:w="289" w:type="pct"/>
            <w:tcBorders>
              <w:top w:val="single" w:color="auto" w:sz="4" w:space="0"/>
              <w:left w:val="nil"/>
              <w:bottom w:val="single" w:color="auto" w:sz="4" w:space="0"/>
              <w:right w:val="single" w:color="auto" w:sz="4" w:space="0"/>
            </w:tcBorders>
          </w:tcPr>
          <w:p>
            <w:pPr>
              <w:jc w:val="center"/>
              <w:rPr>
                <w:rFonts w:ascii="宋体" w:hAnsi="宋体" w:cs="宋体"/>
                <w:color w:val="000000"/>
                <w:kern w:val="0"/>
                <w:sz w:val="20"/>
                <w:szCs w:val="20"/>
              </w:rPr>
            </w:pPr>
            <w:r>
              <w:rPr>
                <w:rFonts w:hint="eastAsia" w:ascii="宋体" w:hAnsi="宋体" w:cs="宋体"/>
                <w:color w:val="000000"/>
                <w:kern w:val="0"/>
                <w:sz w:val="20"/>
                <w:szCs w:val="20"/>
              </w:rPr>
              <w:t>完成</w:t>
            </w:r>
          </w:p>
        </w:tc>
        <w:tc>
          <w:tcPr>
            <w:tcW w:w="243" w:type="pct"/>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320" w:type="pct"/>
            <w:tcBorders>
              <w:top w:val="single" w:color="auto" w:sz="4" w:space="0"/>
              <w:left w:val="nil"/>
              <w:bottom w:val="single" w:color="auto" w:sz="4" w:space="0"/>
              <w:right w:val="nil"/>
            </w:tcBorders>
            <w:vAlign w:val="center"/>
          </w:tcPr>
          <w:p>
            <w:pPr>
              <w:jc w:val="center"/>
              <w:rPr>
                <w:rFonts w:ascii="宋体" w:hAnsi="宋体" w:cs="宋体"/>
                <w:color w:val="000000"/>
                <w:kern w:val="0"/>
                <w:sz w:val="20"/>
                <w:szCs w:val="20"/>
              </w:rPr>
            </w:pPr>
            <w:r>
              <w:rPr>
                <w:rFonts w:ascii="宋体" w:hAnsi="宋体" w:cs="宋体"/>
                <w:color w:val="000000"/>
                <w:kern w:val="0"/>
                <w:sz w:val="20"/>
                <w:szCs w:val="20"/>
              </w:rPr>
              <w:t>5</w:t>
            </w:r>
          </w:p>
        </w:tc>
        <w:tc>
          <w:tcPr>
            <w:tcW w:w="12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20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1196" w:hRule="atLeast"/>
        </w:trPr>
        <w:tc>
          <w:tcPr>
            <w:tcW w:w="37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382" w:type="pct"/>
            <w:vMerge w:val="continue"/>
            <w:tcBorders>
              <w:top w:val="single" w:color="auto" w:sz="4" w:space="0"/>
              <w:left w:val="nil"/>
              <w:right w:val="single" w:color="auto" w:sz="4" w:space="0"/>
            </w:tcBorders>
            <w:vAlign w:val="center"/>
          </w:tcPr>
          <w:p>
            <w:pPr>
              <w:widowControl/>
              <w:jc w:val="center"/>
              <w:rPr>
                <w:rFonts w:ascii="宋体" w:hAnsi="宋体" w:cs="宋体"/>
                <w:color w:val="000000"/>
                <w:kern w:val="0"/>
                <w:sz w:val="20"/>
                <w:szCs w:val="20"/>
              </w:rPr>
            </w:pPr>
          </w:p>
        </w:tc>
        <w:tc>
          <w:tcPr>
            <w:tcW w:w="5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olor w:val="000000"/>
                <w:sz w:val="18"/>
                <w:szCs w:val="18"/>
              </w:rPr>
              <w:t>完成困侨补助</w:t>
            </w:r>
          </w:p>
        </w:tc>
        <w:tc>
          <w:tcPr>
            <w:tcW w:w="442" w:type="pct"/>
            <w:tcBorders>
              <w:top w:val="single" w:color="auto" w:sz="4" w:space="0"/>
              <w:left w:val="nil"/>
              <w:bottom w:val="single" w:color="auto" w:sz="4" w:space="0"/>
              <w:right w:val="single" w:color="auto" w:sz="4" w:space="0"/>
            </w:tcBorders>
            <w:vAlign w:val="center"/>
          </w:tcPr>
          <w:p>
            <w:pPr>
              <w:adjustRightInd w:val="0"/>
              <w:snapToGrid w:val="0"/>
              <w:jc w:val="left"/>
              <w:rPr>
                <w:rFonts w:asciiTheme="minorEastAsia" w:hAnsiTheme="minorEastAsia" w:eastAsiaTheme="minorEastAsia"/>
                <w:sz w:val="20"/>
                <w:szCs w:val="20"/>
              </w:rPr>
            </w:pPr>
            <w:r>
              <w:rPr>
                <w:rFonts w:hint="eastAsia"/>
                <w:sz w:val="18"/>
                <w:szCs w:val="18"/>
              </w:rPr>
              <w:t>按照预算批复，完成全年收支指标及工作任务。</w:t>
            </w:r>
          </w:p>
        </w:tc>
        <w:tc>
          <w:tcPr>
            <w:tcW w:w="289" w:type="pct"/>
            <w:tcBorders>
              <w:top w:val="single" w:color="auto" w:sz="4" w:space="0"/>
              <w:left w:val="nil"/>
              <w:bottom w:val="single" w:color="auto" w:sz="4" w:space="0"/>
              <w:right w:val="single" w:color="auto" w:sz="4" w:space="0"/>
            </w:tcBorders>
          </w:tcPr>
          <w:p>
            <w:pPr>
              <w:jc w:val="center"/>
              <w:rPr>
                <w:rFonts w:ascii="宋体" w:hAnsi="宋体" w:cs="宋体"/>
                <w:color w:val="000000"/>
                <w:kern w:val="0"/>
                <w:sz w:val="20"/>
                <w:szCs w:val="20"/>
              </w:rPr>
            </w:pPr>
            <w:r>
              <w:rPr>
                <w:rFonts w:hint="eastAsia" w:ascii="宋体" w:hAnsi="宋体" w:cs="宋体"/>
                <w:color w:val="000000"/>
                <w:kern w:val="0"/>
                <w:sz w:val="20"/>
                <w:szCs w:val="20"/>
              </w:rPr>
              <w:t>完成</w:t>
            </w:r>
          </w:p>
        </w:tc>
        <w:tc>
          <w:tcPr>
            <w:tcW w:w="243" w:type="pct"/>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320" w:type="pct"/>
            <w:tcBorders>
              <w:top w:val="single" w:color="auto" w:sz="4" w:space="0"/>
              <w:left w:val="nil"/>
              <w:bottom w:val="single" w:color="auto" w:sz="4" w:space="0"/>
              <w:right w:val="nil"/>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2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20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1196" w:hRule="atLeast"/>
        </w:trPr>
        <w:tc>
          <w:tcPr>
            <w:tcW w:w="37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382" w:type="pct"/>
            <w:vMerge w:val="continue"/>
            <w:tcBorders>
              <w:top w:val="single" w:color="auto" w:sz="4" w:space="0"/>
              <w:left w:val="nil"/>
              <w:right w:val="single" w:color="auto" w:sz="4" w:space="0"/>
            </w:tcBorders>
            <w:vAlign w:val="center"/>
          </w:tcPr>
          <w:p>
            <w:pPr>
              <w:widowControl/>
              <w:jc w:val="center"/>
              <w:rPr>
                <w:rFonts w:ascii="宋体" w:hAnsi="宋体" w:cs="宋体"/>
                <w:color w:val="000000"/>
                <w:kern w:val="0"/>
                <w:sz w:val="20"/>
                <w:szCs w:val="20"/>
              </w:rPr>
            </w:pPr>
          </w:p>
        </w:tc>
        <w:tc>
          <w:tcPr>
            <w:tcW w:w="5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sz w:val="18"/>
                <w:szCs w:val="18"/>
              </w:rPr>
              <w:t>完成欧美同学会活动</w:t>
            </w:r>
          </w:p>
        </w:tc>
        <w:tc>
          <w:tcPr>
            <w:tcW w:w="442" w:type="pct"/>
            <w:tcBorders>
              <w:top w:val="single" w:color="auto" w:sz="4" w:space="0"/>
              <w:left w:val="nil"/>
              <w:bottom w:val="single" w:color="auto" w:sz="4" w:space="0"/>
              <w:right w:val="single" w:color="auto" w:sz="4" w:space="0"/>
            </w:tcBorders>
            <w:vAlign w:val="center"/>
          </w:tcPr>
          <w:p>
            <w:pPr>
              <w:adjustRightInd w:val="0"/>
              <w:snapToGrid w:val="0"/>
              <w:jc w:val="left"/>
              <w:rPr>
                <w:rFonts w:asciiTheme="minorEastAsia" w:hAnsiTheme="minorEastAsia" w:eastAsiaTheme="minorEastAsia"/>
                <w:sz w:val="20"/>
                <w:szCs w:val="20"/>
              </w:rPr>
            </w:pPr>
            <w:r>
              <w:rPr>
                <w:rFonts w:hint="eastAsia"/>
                <w:sz w:val="18"/>
                <w:szCs w:val="18"/>
              </w:rPr>
              <w:t>影响力较高</w:t>
            </w:r>
          </w:p>
        </w:tc>
        <w:tc>
          <w:tcPr>
            <w:tcW w:w="289" w:type="pct"/>
            <w:tcBorders>
              <w:top w:val="single" w:color="auto" w:sz="4" w:space="0"/>
              <w:left w:val="nil"/>
              <w:bottom w:val="single" w:color="auto" w:sz="4" w:space="0"/>
              <w:right w:val="single" w:color="auto" w:sz="4" w:space="0"/>
            </w:tcBorders>
          </w:tcPr>
          <w:p>
            <w:pPr>
              <w:jc w:val="center"/>
              <w:rPr>
                <w:rFonts w:ascii="宋体" w:hAnsi="宋体" w:cs="宋体"/>
                <w:color w:val="000000"/>
                <w:kern w:val="0"/>
                <w:sz w:val="20"/>
                <w:szCs w:val="20"/>
              </w:rPr>
            </w:pPr>
            <w:r>
              <w:rPr>
                <w:rFonts w:hint="eastAsia" w:ascii="宋体" w:hAnsi="宋体" w:cs="宋体"/>
                <w:color w:val="000000"/>
                <w:kern w:val="0"/>
                <w:sz w:val="20"/>
                <w:szCs w:val="20"/>
              </w:rPr>
              <w:t>完成</w:t>
            </w:r>
          </w:p>
        </w:tc>
        <w:tc>
          <w:tcPr>
            <w:tcW w:w="243" w:type="pct"/>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320" w:type="pct"/>
            <w:tcBorders>
              <w:top w:val="single" w:color="auto" w:sz="4" w:space="0"/>
              <w:left w:val="nil"/>
              <w:bottom w:val="single" w:color="auto" w:sz="4" w:space="0"/>
              <w:right w:val="nil"/>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2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20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1196" w:hRule="atLeast"/>
        </w:trPr>
        <w:tc>
          <w:tcPr>
            <w:tcW w:w="37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382" w:type="pct"/>
            <w:vMerge w:val="continue"/>
            <w:tcBorders>
              <w:top w:val="single" w:color="auto" w:sz="4" w:space="0"/>
              <w:left w:val="nil"/>
              <w:right w:val="single" w:color="auto" w:sz="4" w:space="0"/>
            </w:tcBorders>
            <w:vAlign w:val="center"/>
          </w:tcPr>
          <w:p>
            <w:pPr>
              <w:widowControl/>
              <w:jc w:val="center"/>
              <w:rPr>
                <w:rFonts w:ascii="宋体" w:hAnsi="宋体" w:cs="宋体"/>
                <w:color w:val="000000"/>
                <w:kern w:val="0"/>
                <w:sz w:val="20"/>
                <w:szCs w:val="20"/>
              </w:rPr>
            </w:pPr>
          </w:p>
        </w:tc>
        <w:tc>
          <w:tcPr>
            <w:tcW w:w="5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sz w:val="18"/>
                <w:szCs w:val="18"/>
              </w:rPr>
              <w:t>网上社院运行正常</w:t>
            </w:r>
          </w:p>
        </w:tc>
        <w:tc>
          <w:tcPr>
            <w:tcW w:w="442" w:type="pct"/>
            <w:tcBorders>
              <w:top w:val="single" w:color="auto" w:sz="4" w:space="0"/>
              <w:left w:val="nil"/>
              <w:bottom w:val="single" w:color="auto" w:sz="4" w:space="0"/>
              <w:right w:val="single" w:color="auto" w:sz="4" w:space="0"/>
            </w:tcBorders>
            <w:vAlign w:val="center"/>
          </w:tcPr>
          <w:p>
            <w:pPr>
              <w:adjustRightInd w:val="0"/>
              <w:snapToGrid w:val="0"/>
              <w:jc w:val="left"/>
              <w:rPr>
                <w:rFonts w:asciiTheme="minorEastAsia" w:hAnsiTheme="minorEastAsia" w:eastAsiaTheme="minorEastAsia"/>
                <w:sz w:val="20"/>
                <w:szCs w:val="20"/>
              </w:rPr>
            </w:pPr>
            <w:r>
              <w:rPr>
                <w:rFonts w:hint="eastAsia"/>
                <w:sz w:val="18"/>
                <w:szCs w:val="18"/>
              </w:rPr>
              <w:t>扩大统一战线的影响力，营造各方面重视支持统战工作的良好氛围</w:t>
            </w:r>
          </w:p>
        </w:tc>
        <w:tc>
          <w:tcPr>
            <w:tcW w:w="289" w:type="pct"/>
            <w:tcBorders>
              <w:top w:val="single" w:color="auto" w:sz="4" w:space="0"/>
              <w:left w:val="nil"/>
              <w:bottom w:val="single" w:color="auto" w:sz="4" w:space="0"/>
              <w:right w:val="single" w:color="auto" w:sz="4" w:space="0"/>
            </w:tcBorders>
          </w:tcPr>
          <w:p>
            <w:pPr>
              <w:jc w:val="center"/>
              <w:rPr>
                <w:rFonts w:ascii="宋体" w:hAnsi="宋体" w:cs="宋体"/>
                <w:color w:val="000000"/>
                <w:kern w:val="0"/>
                <w:sz w:val="20"/>
                <w:szCs w:val="20"/>
              </w:rPr>
            </w:pPr>
            <w:r>
              <w:rPr>
                <w:rFonts w:hint="eastAsia" w:ascii="宋体" w:hAnsi="宋体" w:cs="宋体"/>
                <w:color w:val="000000"/>
                <w:kern w:val="0"/>
                <w:sz w:val="20"/>
                <w:szCs w:val="20"/>
              </w:rPr>
              <w:t>完成</w:t>
            </w:r>
          </w:p>
        </w:tc>
        <w:tc>
          <w:tcPr>
            <w:tcW w:w="243" w:type="pct"/>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320" w:type="pct"/>
            <w:tcBorders>
              <w:top w:val="single" w:color="auto" w:sz="4" w:space="0"/>
              <w:left w:val="nil"/>
              <w:bottom w:val="single" w:color="auto" w:sz="4" w:space="0"/>
              <w:right w:val="nil"/>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2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20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675" w:hRule="atLeast"/>
        </w:trPr>
        <w:tc>
          <w:tcPr>
            <w:tcW w:w="3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82"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效果（30）</w:t>
            </w:r>
          </w:p>
        </w:tc>
        <w:tc>
          <w:tcPr>
            <w:tcW w:w="50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442" w:type="pct"/>
            <w:tcBorders>
              <w:top w:val="nil"/>
              <w:left w:val="nil"/>
              <w:bottom w:val="single" w:color="auto" w:sz="4" w:space="0"/>
              <w:right w:val="single" w:color="auto" w:sz="4" w:space="0"/>
            </w:tcBorders>
            <w:vAlign w:val="center"/>
          </w:tcPr>
          <w:p>
            <w:pPr>
              <w:widowControl/>
              <w:adjustRightInd w:val="0"/>
              <w:snapToGrid w:val="0"/>
              <w:jc w:val="left"/>
              <w:rPr>
                <w:rFonts w:ascii="宋体" w:hAnsi="宋体" w:cs="宋体"/>
                <w:color w:val="000000"/>
                <w:kern w:val="0"/>
                <w:sz w:val="20"/>
                <w:szCs w:val="20"/>
              </w:rPr>
            </w:pPr>
            <w:r>
              <w:rPr>
                <w:rFonts w:hint="eastAsia" w:asciiTheme="minorEastAsia" w:hAnsiTheme="minorEastAsia" w:eastAsiaTheme="minorEastAsia"/>
                <w:sz w:val="20"/>
                <w:szCs w:val="20"/>
              </w:rPr>
              <w:t>服务首都全面深化改革，为实现中华民族伟大复兴中国梦的首都篇章做贡献。</w:t>
            </w:r>
            <w:r>
              <w:rPr>
                <w:rFonts w:hint="eastAsia" w:ascii="宋体" w:hAnsi="宋体" w:cs="宋体"/>
                <w:color w:val="000000"/>
                <w:kern w:val="0"/>
                <w:sz w:val="20"/>
                <w:szCs w:val="20"/>
              </w:rPr>
              <w:t>　</w:t>
            </w:r>
          </w:p>
        </w:tc>
        <w:tc>
          <w:tcPr>
            <w:tcW w:w="289" w:type="pct"/>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0"/>
                <w:szCs w:val="20"/>
              </w:rPr>
              <w:t>完成</w:t>
            </w:r>
          </w:p>
        </w:tc>
        <w:tc>
          <w:tcPr>
            <w:tcW w:w="243"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320" w:type="pct"/>
            <w:tcBorders>
              <w:top w:val="nil"/>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0</w:t>
            </w:r>
            <w:r>
              <w:rPr>
                <w:rFonts w:hint="eastAsia" w:ascii="宋体" w:hAnsi="宋体" w:cs="宋体"/>
                <w:color w:val="000000"/>
                <w:kern w:val="0"/>
                <w:sz w:val="20"/>
                <w:szCs w:val="20"/>
              </w:rPr>
              <w:t>　</w:t>
            </w:r>
          </w:p>
        </w:tc>
        <w:tc>
          <w:tcPr>
            <w:tcW w:w="1237" w:type="pct"/>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1205" w:type="pct"/>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tblPrEx>
          <w:tblCellMar>
            <w:top w:w="0" w:type="dxa"/>
            <w:left w:w="108" w:type="dxa"/>
            <w:bottom w:w="0" w:type="dxa"/>
            <w:right w:w="108" w:type="dxa"/>
          </w:tblCellMar>
        </w:tblPrEx>
        <w:trPr>
          <w:cantSplit/>
          <w:trHeight w:val="630" w:hRule="atLeast"/>
        </w:trPr>
        <w:tc>
          <w:tcPr>
            <w:tcW w:w="3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8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0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可持续性影响</w:t>
            </w:r>
          </w:p>
        </w:tc>
        <w:tc>
          <w:tcPr>
            <w:tcW w:w="442" w:type="pct"/>
            <w:tcBorders>
              <w:top w:val="nil"/>
              <w:left w:val="nil"/>
              <w:bottom w:val="single" w:color="auto" w:sz="4" w:space="0"/>
              <w:right w:val="single" w:color="auto" w:sz="4" w:space="0"/>
            </w:tcBorders>
            <w:vAlign w:val="center"/>
          </w:tcPr>
          <w:p>
            <w:pPr>
              <w:widowControl/>
              <w:adjustRightInd w:val="0"/>
              <w:snapToGrid w:val="0"/>
              <w:jc w:val="left"/>
              <w:rPr>
                <w:rFonts w:ascii="宋体" w:hAnsi="宋体" w:cs="宋体"/>
                <w:color w:val="000000"/>
                <w:kern w:val="0"/>
                <w:sz w:val="20"/>
                <w:szCs w:val="20"/>
              </w:rPr>
            </w:pPr>
            <w:r>
              <w:rPr>
                <w:rFonts w:hint="eastAsia" w:asciiTheme="minorEastAsia" w:hAnsiTheme="minorEastAsia" w:eastAsiaTheme="minorEastAsia"/>
                <w:sz w:val="20"/>
                <w:szCs w:val="20"/>
              </w:rPr>
              <w:t>扩大统一战线的影响力，营造各方面重视支持统战工作的良好氛围。</w:t>
            </w:r>
            <w:r>
              <w:rPr>
                <w:rFonts w:hint="eastAsia" w:ascii="宋体" w:hAnsi="宋体" w:cs="宋体"/>
                <w:color w:val="000000"/>
                <w:kern w:val="0"/>
                <w:sz w:val="20"/>
                <w:szCs w:val="20"/>
              </w:rPr>
              <w:t>　</w:t>
            </w:r>
          </w:p>
        </w:tc>
        <w:tc>
          <w:tcPr>
            <w:tcW w:w="289" w:type="pct"/>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0"/>
                <w:szCs w:val="20"/>
              </w:rPr>
              <w:t>完成</w:t>
            </w:r>
          </w:p>
        </w:tc>
        <w:tc>
          <w:tcPr>
            <w:tcW w:w="24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20" w:type="pct"/>
            <w:tcBorders>
              <w:top w:val="nil"/>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0</w:t>
            </w:r>
            <w:r>
              <w:rPr>
                <w:rFonts w:hint="eastAsia" w:ascii="宋体" w:hAnsi="宋体" w:cs="宋体"/>
                <w:color w:val="000000"/>
                <w:kern w:val="0"/>
                <w:sz w:val="20"/>
                <w:szCs w:val="20"/>
              </w:rPr>
              <w:t>　</w:t>
            </w:r>
          </w:p>
        </w:tc>
        <w:tc>
          <w:tcPr>
            <w:tcW w:w="12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0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690" w:hRule="atLeast"/>
        </w:trPr>
        <w:tc>
          <w:tcPr>
            <w:tcW w:w="3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8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04" w:type="pct"/>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442" w:type="pct"/>
            <w:tcBorders>
              <w:top w:val="nil"/>
              <w:left w:val="nil"/>
              <w:bottom w:val="single" w:color="auto" w:sz="4" w:space="0"/>
              <w:right w:val="single" w:color="auto" w:sz="4" w:space="0"/>
            </w:tcBorders>
            <w:vAlign w:val="center"/>
          </w:tcPr>
          <w:p>
            <w:pPr>
              <w:widowControl/>
              <w:adjustRightInd w:val="0"/>
              <w:snapToGrid w:val="0"/>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Theme="minorEastAsia" w:hAnsiTheme="minorEastAsia" w:eastAsiaTheme="minorEastAsia"/>
                <w:sz w:val="20"/>
                <w:szCs w:val="20"/>
              </w:rPr>
              <w:t>推动统一战线建设与发展。</w:t>
            </w:r>
          </w:p>
        </w:tc>
        <w:tc>
          <w:tcPr>
            <w:tcW w:w="289" w:type="pct"/>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0"/>
                <w:szCs w:val="20"/>
              </w:rPr>
              <w:t>完成</w:t>
            </w:r>
          </w:p>
        </w:tc>
        <w:tc>
          <w:tcPr>
            <w:tcW w:w="24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20" w:type="pct"/>
            <w:tcBorders>
              <w:top w:val="nil"/>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　</w:t>
            </w:r>
          </w:p>
        </w:tc>
        <w:tc>
          <w:tcPr>
            <w:tcW w:w="12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0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487"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tblPrEx>
          <w:tblCellMar>
            <w:top w:w="0" w:type="dxa"/>
            <w:left w:w="108" w:type="dxa"/>
            <w:bottom w:w="0" w:type="dxa"/>
            <w:right w:w="108" w:type="dxa"/>
          </w:tblCellMar>
        </w:tblPrEx>
        <w:trPr>
          <w:cantSplit/>
          <w:trHeight w:val="702" w:hRule="atLeast"/>
        </w:trPr>
        <w:tc>
          <w:tcPr>
            <w:tcW w:w="37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38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5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44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28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243"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320" w:type="pct"/>
            <w:tcBorders>
              <w:top w:val="single" w:color="auto" w:sz="4" w:space="0"/>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2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cantSplit/>
          <w:trHeight w:val="1230" w:hRule="atLeast"/>
        </w:trPr>
        <w:tc>
          <w:tcPr>
            <w:tcW w:w="37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预算管理情况（20）</w:t>
            </w:r>
          </w:p>
        </w:tc>
        <w:tc>
          <w:tcPr>
            <w:tcW w:w="38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财务管理（4）</w:t>
            </w:r>
          </w:p>
        </w:tc>
        <w:tc>
          <w:tcPr>
            <w:tcW w:w="5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44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项目管理制度、财务管理制度等健全</w:t>
            </w:r>
          </w:p>
        </w:tc>
        <w:tc>
          <w:tcPr>
            <w:tcW w:w="28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较健全　</w:t>
            </w:r>
          </w:p>
        </w:tc>
        <w:tc>
          <w:tcPr>
            <w:tcW w:w="243"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20" w:type="pct"/>
            <w:tcBorders>
              <w:top w:val="single" w:color="auto" w:sz="4" w:space="0"/>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r>
              <w:rPr>
                <w:rFonts w:ascii="宋体" w:hAnsi="宋体" w:cs="宋体"/>
                <w:color w:val="000000"/>
                <w:kern w:val="0"/>
                <w:sz w:val="20"/>
                <w:szCs w:val="20"/>
              </w:rPr>
              <w:t>.8</w:t>
            </w:r>
            <w:r>
              <w:rPr>
                <w:rFonts w:hint="eastAsia" w:ascii="宋体" w:hAnsi="宋体" w:cs="宋体"/>
                <w:color w:val="000000"/>
                <w:kern w:val="0"/>
                <w:sz w:val="20"/>
                <w:szCs w:val="20"/>
              </w:rPr>
              <w:t>　</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1205"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tblPrEx>
          <w:tblCellMar>
            <w:top w:w="0" w:type="dxa"/>
            <w:left w:w="108" w:type="dxa"/>
            <w:bottom w:w="0" w:type="dxa"/>
            <w:right w:w="108" w:type="dxa"/>
          </w:tblCellMar>
        </w:tblPrEx>
        <w:trPr>
          <w:cantSplit/>
          <w:trHeight w:val="2220" w:hRule="atLeast"/>
        </w:trPr>
        <w:tc>
          <w:tcPr>
            <w:tcW w:w="37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8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44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符合单位内、外部各项财经纪律、办法要求</w:t>
            </w:r>
          </w:p>
        </w:tc>
        <w:tc>
          <w:tcPr>
            <w:tcW w:w="28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基本规范</w:t>
            </w:r>
          </w:p>
        </w:tc>
        <w:tc>
          <w:tcPr>
            <w:tcW w:w="243"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1.5</w:t>
            </w:r>
          </w:p>
        </w:tc>
        <w:tc>
          <w:tcPr>
            <w:tcW w:w="320" w:type="pct"/>
            <w:tcBorders>
              <w:top w:val="single" w:color="auto" w:sz="4" w:space="0"/>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.5</w:t>
            </w:r>
            <w:r>
              <w:rPr>
                <w:rFonts w:hint="eastAsia" w:ascii="宋体" w:hAnsi="宋体" w:cs="宋体"/>
                <w:color w:val="000000"/>
                <w:kern w:val="0"/>
                <w:sz w:val="20"/>
                <w:szCs w:val="20"/>
              </w:rPr>
              <w:t>　</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1205"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CellMar>
            <w:top w:w="0" w:type="dxa"/>
            <w:left w:w="108" w:type="dxa"/>
            <w:bottom w:w="0" w:type="dxa"/>
            <w:right w:w="108" w:type="dxa"/>
          </w:tblCellMar>
        </w:tblPrEx>
        <w:trPr>
          <w:cantSplit/>
          <w:trHeight w:val="410" w:hRule="atLeast"/>
        </w:trPr>
        <w:tc>
          <w:tcPr>
            <w:tcW w:w="3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8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0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442"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符合会计基础规范　</w:t>
            </w:r>
          </w:p>
        </w:tc>
        <w:tc>
          <w:tcPr>
            <w:tcW w:w="28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符合要求　</w:t>
            </w:r>
          </w:p>
        </w:tc>
        <w:tc>
          <w:tcPr>
            <w:tcW w:w="243"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.5</w:t>
            </w:r>
          </w:p>
        </w:tc>
        <w:tc>
          <w:tcPr>
            <w:tcW w:w="320" w:type="pct"/>
            <w:tcBorders>
              <w:top w:val="nil"/>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.5</w:t>
            </w:r>
            <w:r>
              <w:rPr>
                <w:rFonts w:hint="eastAsia" w:ascii="宋体" w:hAnsi="宋体" w:cs="宋体"/>
                <w:color w:val="000000"/>
                <w:kern w:val="0"/>
                <w:sz w:val="20"/>
                <w:szCs w:val="20"/>
              </w:rPr>
              <w:t>　</w:t>
            </w:r>
          </w:p>
        </w:tc>
        <w:tc>
          <w:tcPr>
            <w:tcW w:w="1237"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1205"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tblPrEx>
          <w:tblCellMar>
            <w:top w:w="0" w:type="dxa"/>
            <w:left w:w="108" w:type="dxa"/>
            <w:bottom w:w="0" w:type="dxa"/>
            <w:right w:w="108" w:type="dxa"/>
          </w:tblCellMar>
        </w:tblPrEx>
        <w:trPr>
          <w:cantSplit/>
          <w:trHeight w:val="2220" w:hRule="atLeast"/>
        </w:trPr>
        <w:tc>
          <w:tcPr>
            <w:tcW w:w="3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8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资产管理（4）</w:t>
            </w:r>
          </w:p>
        </w:tc>
        <w:tc>
          <w:tcPr>
            <w:tcW w:w="50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资产管理规范性</w:t>
            </w:r>
          </w:p>
        </w:tc>
        <w:tc>
          <w:tcPr>
            <w:tcW w:w="442"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资产采购、日常管理符合资产管理相关规定</w:t>
            </w:r>
          </w:p>
        </w:tc>
        <w:tc>
          <w:tcPr>
            <w:tcW w:w="289"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基本规范</w:t>
            </w:r>
          </w:p>
        </w:tc>
        <w:tc>
          <w:tcPr>
            <w:tcW w:w="24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2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1205"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他资产管理制度办法执行情况。每有一项不合格扣0.8分，扣完为止。</w:t>
            </w:r>
          </w:p>
        </w:tc>
      </w:tr>
      <w:tr>
        <w:tblPrEx>
          <w:tblCellMar>
            <w:top w:w="0" w:type="dxa"/>
            <w:left w:w="108" w:type="dxa"/>
            <w:bottom w:w="0" w:type="dxa"/>
            <w:right w:w="108" w:type="dxa"/>
          </w:tblCellMar>
        </w:tblPrEx>
        <w:trPr>
          <w:cantSplit/>
          <w:trHeight w:val="1210" w:hRule="atLeast"/>
        </w:trPr>
        <w:tc>
          <w:tcPr>
            <w:tcW w:w="3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8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绩效管理（4）</w:t>
            </w:r>
          </w:p>
        </w:tc>
        <w:tc>
          <w:tcPr>
            <w:tcW w:w="5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绩效管理情况</w:t>
            </w:r>
          </w:p>
        </w:tc>
        <w:tc>
          <w:tcPr>
            <w:tcW w:w="442"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绩效管理组织情况</w:t>
            </w:r>
          </w:p>
        </w:tc>
        <w:tc>
          <w:tcPr>
            <w:tcW w:w="289"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重视绩效管理，组织较好</w:t>
            </w:r>
          </w:p>
        </w:tc>
        <w:tc>
          <w:tcPr>
            <w:tcW w:w="24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20" w:type="pct"/>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3.2</w:t>
            </w:r>
            <w:r>
              <w:rPr>
                <w:rFonts w:hint="eastAsia" w:ascii="宋体" w:hAnsi="宋体" w:cs="宋体"/>
                <w:color w:val="000000"/>
                <w:kern w:val="0"/>
                <w:sz w:val="20"/>
                <w:szCs w:val="20"/>
              </w:rPr>
              <w:t>　</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1205"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tblPrEx>
          <w:tblCellMar>
            <w:top w:w="0" w:type="dxa"/>
            <w:left w:w="108" w:type="dxa"/>
            <w:bottom w:w="0" w:type="dxa"/>
            <w:right w:w="108" w:type="dxa"/>
          </w:tblCellMar>
        </w:tblPrEx>
        <w:trPr>
          <w:cantSplit/>
          <w:trHeight w:val="2229" w:hRule="atLeast"/>
        </w:trPr>
        <w:tc>
          <w:tcPr>
            <w:tcW w:w="3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82" w:type="pct"/>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946" w:type="pct"/>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4.52%</w:t>
            </w:r>
            <w:r>
              <w:rPr>
                <w:rFonts w:hint="eastAsia" w:ascii="宋体" w:hAnsi="宋体" w:cs="宋体"/>
                <w:color w:val="000000"/>
                <w:kern w:val="0"/>
                <w:sz w:val="20"/>
                <w:szCs w:val="20"/>
              </w:rPr>
              <w:t>　</w:t>
            </w:r>
          </w:p>
        </w:tc>
        <w:tc>
          <w:tcPr>
            <w:tcW w:w="289"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3.36%</w:t>
            </w:r>
            <w:r>
              <w:rPr>
                <w:rFonts w:hint="eastAsia" w:ascii="宋体" w:hAnsi="宋体" w:cs="宋体"/>
                <w:color w:val="000000"/>
                <w:kern w:val="0"/>
                <w:sz w:val="20"/>
                <w:szCs w:val="20"/>
              </w:rPr>
              <w:t>　</w:t>
            </w:r>
          </w:p>
        </w:tc>
        <w:tc>
          <w:tcPr>
            <w:tcW w:w="243"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20" w:type="pct"/>
            <w:tcBorders>
              <w:top w:val="nil"/>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　</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结转结余率=结转结余总额/支出预算数×100%。</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结转结余总额：部门（单位）本年度的结转资金与结余资金之和。</w:t>
            </w:r>
          </w:p>
        </w:tc>
        <w:tc>
          <w:tcPr>
            <w:tcW w:w="1205"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CellMar>
            <w:top w:w="0" w:type="dxa"/>
            <w:left w:w="108" w:type="dxa"/>
            <w:bottom w:w="0" w:type="dxa"/>
            <w:right w:w="108" w:type="dxa"/>
          </w:tblCellMar>
        </w:tblPrEx>
        <w:trPr>
          <w:cantSplit/>
          <w:trHeight w:val="981" w:hRule="atLeast"/>
        </w:trPr>
        <w:tc>
          <w:tcPr>
            <w:tcW w:w="3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82" w:type="pct"/>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946" w:type="pct"/>
            <w:gridSpan w:val="2"/>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89"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5.44%</w:t>
            </w:r>
          </w:p>
        </w:tc>
        <w:tc>
          <w:tcPr>
            <w:tcW w:w="243"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20" w:type="pct"/>
            <w:tcBorders>
              <w:top w:val="nil"/>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　</w:t>
            </w:r>
          </w:p>
        </w:tc>
        <w:tc>
          <w:tcPr>
            <w:tcW w:w="1237"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1205"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tblPrEx>
          <w:tblCellMar>
            <w:top w:w="0" w:type="dxa"/>
            <w:left w:w="108" w:type="dxa"/>
            <w:bottom w:w="0" w:type="dxa"/>
            <w:right w:w="108" w:type="dxa"/>
          </w:tblCellMar>
        </w:tblPrEx>
        <w:trPr>
          <w:cantSplit/>
          <w:trHeight w:val="484" w:hRule="atLeast"/>
        </w:trPr>
        <w:tc>
          <w:tcPr>
            <w:tcW w:w="1996" w:type="pct"/>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43"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320" w:type="pct"/>
            <w:tcBorders>
              <w:top w:val="nil"/>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1</w:t>
            </w:r>
            <w:r>
              <w:rPr>
                <w:rFonts w:hint="eastAsia" w:ascii="宋体" w:hAnsi="宋体" w:cs="宋体"/>
                <w:color w:val="000000"/>
                <w:kern w:val="0"/>
                <w:sz w:val="20"/>
                <w:szCs w:val="20"/>
              </w:rPr>
              <w:t>.33</w:t>
            </w:r>
          </w:p>
        </w:tc>
        <w:tc>
          <w:tcPr>
            <w:tcW w:w="2442" w:type="pct"/>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pPr>
        <w:spacing w:line="20" w:lineRule="exact"/>
        <w:rPr>
          <w:rFonts w:ascii="方正小标宋简体" w:eastAsia="方正小标宋简体"/>
          <w:sz w:val="36"/>
          <w:szCs w:val="36"/>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2585FB-DCF7-4D0C-AA8C-AEDB9092AD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C50B208-4089-4ACE-A8D1-C03C29281918}"/>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embedRegular r:id="rId3" w:fontKey="{7059A0B9-020F-4255-A992-C5155BFB0883}"/>
  </w:font>
  <w:font w:name="方正小标宋简体">
    <w:panose1 w:val="02000000000000000000"/>
    <w:charset w:val="86"/>
    <w:family w:val="auto"/>
    <w:pitch w:val="default"/>
    <w:sig w:usb0="00000001" w:usb1="08000000" w:usb2="00000000" w:usb3="00000000" w:csb0="00040000" w:csb1="00000000"/>
    <w:embedRegular r:id="rId4" w:fontKey="{A8A868F5-2E1A-4C7E-9EEA-7F0907A84B3D}"/>
  </w:font>
  <w:font w:name="仿宋">
    <w:panose1 w:val="02010609060101010101"/>
    <w:charset w:val="86"/>
    <w:family w:val="modern"/>
    <w:pitch w:val="default"/>
    <w:sig w:usb0="800002BF" w:usb1="38CF7CFA" w:usb2="00000016" w:usb3="00000000" w:csb0="00040001" w:csb1="00000000"/>
    <w:embedRegular r:id="rId5" w:fontKey="{9C41CCF6-1A80-4D1D-A932-CAB4CBB678C8}"/>
  </w:font>
  <w:font w:name="等线">
    <w:panose1 w:val="02010600030101010101"/>
    <w:charset w:val="86"/>
    <w:family w:val="auto"/>
    <w:pitch w:val="default"/>
    <w:sig w:usb0="A00002BF" w:usb1="38CF7CFA" w:usb2="00000016" w:usb3="00000000" w:csb0="0004000F" w:csb1="00000000"/>
    <w:embedRegular r:id="rId6" w:fontKey="{C94EE099-8D64-4BDE-9B0F-17027FC736E3}"/>
  </w:font>
  <w:font w:name="方正黑体_GBK">
    <w:altName w:val="微软雅黑"/>
    <w:panose1 w:val="00000000000000000000"/>
    <w:charset w:val="86"/>
    <w:family w:val="auto"/>
    <w:pitch w:val="default"/>
    <w:sig w:usb0="00000000" w:usb1="00000000" w:usb2="00000000" w:usb3="00000000" w:csb0="00040000" w:csb1="00000000"/>
    <w:embedRegular r:id="rId7" w:fontKey="{647C7485-30B5-4C1F-AFD4-7FDC6559A7F9}"/>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sz w:val="21"/>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documentProtection w:enforcement="0"/>
  <w:defaultTabStop w:val="420"/>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MTc2ODI4OWE3YmEzZmU5MGRhNzRhZjg4NTQ3NjUifQ=="/>
  </w:docVars>
  <w:rsids>
    <w:rsidRoot w:val="F77F09F4"/>
    <w:rsid w:val="000113F1"/>
    <w:rsid w:val="0003079C"/>
    <w:rsid w:val="000B21D6"/>
    <w:rsid w:val="000B4CBC"/>
    <w:rsid w:val="000D1317"/>
    <w:rsid w:val="000D50D9"/>
    <w:rsid w:val="000D6893"/>
    <w:rsid w:val="000F2563"/>
    <w:rsid w:val="00140FFD"/>
    <w:rsid w:val="00147C2C"/>
    <w:rsid w:val="00165FA9"/>
    <w:rsid w:val="00200BA6"/>
    <w:rsid w:val="0020445F"/>
    <w:rsid w:val="002158FC"/>
    <w:rsid w:val="002216F8"/>
    <w:rsid w:val="00242E40"/>
    <w:rsid w:val="00255A82"/>
    <w:rsid w:val="00275A50"/>
    <w:rsid w:val="00294932"/>
    <w:rsid w:val="00297ABB"/>
    <w:rsid w:val="002C526D"/>
    <w:rsid w:val="002F4CDE"/>
    <w:rsid w:val="002F569D"/>
    <w:rsid w:val="00315A70"/>
    <w:rsid w:val="00315E41"/>
    <w:rsid w:val="003B0D08"/>
    <w:rsid w:val="003B22FD"/>
    <w:rsid w:val="003C2EEE"/>
    <w:rsid w:val="003D3965"/>
    <w:rsid w:val="003F001B"/>
    <w:rsid w:val="00451D42"/>
    <w:rsid w:val="00464BF9"/>
    <w:rsid w:val="004863F7"/>
    <w:rsid w:val="004C0B74"/>
    <w:rsid w:val="004C644D"/>
    <w:rsid w:val="004D0B87"/>
    <w:rsid w:val="004D5D58"/>
    <w:rsid w:val="004E588F"/>
    <w:rsid w:val="004F4009"/>
    <w:rsid w:val="004F5493"/>
    <w:rsid w:val="0051766B"/>
    <w:rsid w:val="00563BC3"/>
    <w:rsid w:val="005A1B8F"/>
    <w:rsid w:val="005D7A1C"/>
    <w:rsid w:val="00630FC2"/>
    <w:rsid w:val="0068256A"/>
    <w:rsid w:val="00690E47"/>
    <w:rsid w:val="00695BD6"/>
    <w:rsid w:val="006A7EFF"/>
    <w:rsid w:val="006C70BA"/>
    <w:rsid w:val="006E2BE7"/>
    <w:rsid w:val="00731BE6"/>
    <w:rsid w:val="00736087"/>
    <w:rsid w:val="0075200A"/>
    <w:rsid w:val="007F7577"/>
    <w:rsid w:val="00816A4C"/>
    <w:rsid w:val="0086589E"/>
    <w:rsid w:val="00871542"/>
    <w:rsid w:val="00886DC9"/>
    <w:rsid w:val="008951F8"/>
    <w:rsid w:val="008D03C4"/>
    <w:rsid w:val="008D2B24"/>
    <w:rsid w:val="008E6751"/>
    <w:rsid w:val="008F3826"/>
    <w:rsid w:val="0091511A"/>
    <w:rsid w:val="009252DB"/>
    <w:rsid w:val="009477BD"/>
    <w:rsid w:val="0096086D"/>
    <w:rsid w:val="009738EB"/>
    <w:rsid w:val="00981A1D"/>
    <w:rsid w:val="00990143"/>
    <w:rsid w:val="00997458"/>
    <w:rsid w:val="009B348C"/>
    <w:rsid w:val="009D13F1"/>
    <w:rsid w:val="009E3EF3"/>
    <w:rsid w:val="009F7110"/>
    <w:rsid w:val="009F7932"/>
    <w:rsid w:val="00A0629F"/>
    <w:rsid w:val="00A14C59"/>
    <w:rsid w:val="00A20E68"/>
    <w:rsid w:val="00A355F7"/>
    <w:rsid w:val="00A43FCD"/>
    <w:rsid w:val="00A513ED"/>
    <w:rsid w:val="00A94EC5"/>
    <w:rsid w:val="00A9747B"/>
    <w:rsid w:val="00AB35F2"/>
    <w:rsid w:val="00AF5887"/>
    <w:rsid w:val="00B358B7"/>
    <w:rsid w:val="00B41514"/>
    <w:rsid w:val="00B635AD"/>
    <w:rsid w:val="00B65075"/>
    <w:rsid w:val="00BC3F7C"/>
    <w:rsid w:val="00BC70CA"/>
    <w:rsid w:val="00C50785"/>
    <w:rsid w:val="00C851A0"/>
    <w:rsid w:val="00CB0A76"/>
    <w:rsid w:val="00CC1DE9"/>
    <w:rsid w:val="00CD46A0"/>
    <w:rsid w:val="00D63316"/>
    <w:rsid w:val="00D76FB2"/>
    <w:rsid w:val="00D858D6"/>
    <w:rsid w:val="00D916E5"/>
    <w:rsid w:val="00DA790E"/>
    <w:rsid w:val="00DE6CEB"/>
    <w:rsid w:val="00E01E95"/>
    <w:rsid w:val="00E13946"/>
    <w:rsid w:val="00E475BC"/>
    <w:rsid w:val="00E6386F"/>
    <w:rsid w:val="00E95269"/>
    <w:rsid w:val="00EC7B57"/>
    <w:rsid w:val="00EF2C96"/>
    <w:rsid w:val="00F0723A"/>
    <w:rsid w:val="00F75D90"/>
    <w:rsid w:val="00F84A7E"/>
    <w:rsid w:val="00FB4409"/>
    <w:rsid w:val="00FC1FB9"/>
    <w:rsid w:val="00FC50B2"/>
    <w:rsid w:val="00FD3B6A"/>
    <w:rsid w:val="00FD7442"/>
    <w:rsid w:val="12345F89"/>
    <w:rsid w:val="175F53D8"/>
    <w:rsid w:val="31181E11"/>
    <w:rsid w:val="35024452"/>
    <w:rsid w:val="37173543"/>
    <w:rsid w:val="3FDBA076"/>
    <w:rsid w:val="3FDFB3F0"/>
    <w:rsid w:val="3FDFC9A6"/>
    <w:rsid w:val="3FF76880"/>
    <w:rsid w:val="5A8735D9"/>
    <w:rsid w:val="5BFD4AC2"/>
    <w:rsid w:val="67759716"/>
    <w:rsid w:val="6BDF0578"/>
    <w:rsid w:val="6D1B624D"/>
    <w:rsid w:val="6F7ED27B"/>
    <w:rsid w:val="75B17A7C"/>
    <w:rsid w:val="79E724CB"/>
    <w:rsid w:val="7AB7FF50"/>
    <w:rsid w:val="7AEAF641"/>
    <w:rsid w:val="7BAD2729"/>
    <w:rsid w:val="7BFEB0DB"/>
    <w:rsid w:val="7F24510E"/>
    <w:rsid w:val="7FFF4E81"/>
    <w:rsid w:val="7FFFD0D3"/>
    <w:rsid w:val="8716660E"/>
    <w:rsid w:val="A3AA735E"/>
    <w:rsid w:val="A75D4892"/>
    <w:rsid w:val="AFFFCE02"/>
    <w:rsid w:val="CEFD3F3D"/>
    <w:rsid w:val="D6B22E60"/>
    <w:rsid w:val="EA3F77F2"/>
    <w:rsid w:val="EEFE5989"/>
    <w:rsid w:val="EFCF3EAE"/>
    <w:rsid w:val="F4FDEB06"/>
    <w:rsid w:val="F5B764A2"/>
    <w:rsid w:val="F77F09F4"/>
    <w:rsid w:val="FBFF6E65"/>
    <w:rsid w:val="FEEF6AA0"/>
    <w:rsid w:val="FFB792B8"/>
    <w:rsid w:val="FFD7BFFC"/>
    <w:rsid w:val="FFFA6B0F"/>
    <w:rsid w:val="FFFFB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50" w:beforeLines="50" w:after="50" w:afterLines="50" w:line="360" w:lineRule="auto"/>
      <w:ind w:firstLine="641"/>
      <w:outlineLvl w:val="0"/>
    </w:pPr>
    <w:rPr>
      <w:rFonts w:ascii="黑体" w:hAnsi="黑体" w:eastAsia="黑体" w:cs="宋体"/>
      <w:b/>
      <w:color w:val="000000"/>
      <w:kern w:val="0"/>
      <w:sz w:val="32"/>
    </w:rPr>
  </w:style>
  <w:style w:type="paragraph" w:styleId="3">
    <w:name w:val="heading 2"/>
    <w:basedOn w:val="1"/>
    <w:next w:val="1"/>
    <w:qFormat/>
    <w:uiPriority w:val="0"/>
    <w:pPr>
      <w:keepNext/>
      <w:keepLines/>
      <w:spacing w:before="120" w:after="120" w:line="360" w:lineRule="auto"/>
      <w:ind w:firstLine="200" w:firstLineChars="200"/>
      <w:outlineLvl w:val="1"/>
    </w:pPr>
    <w:rPr>
      <w:rFonts w:ascii="Arial" w:hAnsi="Arial" w:eastAsia="楷体"/>
      <w:b/>
      <w:sz w:val="32"/>
    </w:rPr>
  </w:style>
  <w:style w:type="character" w:default="1" w:styleId="21">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4">
    <w:name w:val="toc 7"/>
    <w:basedOn w:val="1"/>
    <w:next w:val="1"/>
    <w:qFormat/>
    <w:uiPriority w:val="0"/>
    <w:pPr>
      <w:ind w:left="1260"/>
      <w:jc w:val="left"/>
    </w:pPr>
    <w:rPr>
      <w:rFonts w:asciiTheme="minorHAnsi" w:hAnsiTheme="minorHAnsi" w:cstheme="minorHAnsi"/>
      <w:sz w:val="18"/>
      <w:szCs w:val="18"/>
    </w:rPr>
  </w:style>
  <w:style w:type="paragraph" w:styleId="5">
    <w:name w:val="annotation text"/>
    <w:basedOn w:val="1"/>
    <w:uiPriority w:val="0"/>
    <w:pPr>
      <w:jc w:val="left"/>
    </w:pPr>
  </w:style>
  <w:style w:type="paragraph" w:styleId="6">
    <w:name w:val="toc 5"/>
    <w:basedOn w:val="1"/>
    <w:next w:val="1"/>
    <w:qFormat/>
    <w:uiPriority w:val="0"/>
    <w:pPr>
      <w:ind w:left="840"/>
      <w:jc w:val="left"/>
    </w:pPr>
    <w:rPr>
      <w:rFonts w:asciiTheme="minorHAnsi" w:hAnsiTheme="minorHAnsi" w:cstheme="minorHAnsi"/>
      <w:sz w:val="18"/>
      <w:szCs w:val="18"/>
    </w:rPr>
  </w:style>
  <w:style w:type="paragraph" w:styleId="7">
    <w:name w:val="toc 3"/>
    <w:basedOn w:val="1"/>
    <w:next w:val="1"/>
    <w:qFormat/>
    <w:uiPriority w:val="0"/>
    <w:pPr>
      <w:ind w:left="420"/>
      <w:jc w:val="left"/>
    </w:pPr>
    <w:rPr>
      <w:rFonts w:asciiTheme="minorHAnsi" w:hAnsiTheme="minorHAnsi" w:cstheme="minorHAnsi"/>
      <w:i/>
      <w:iCs/>
      <w:sz w:val="20"/>
      <w:szCs w:val="20"/>
    </w:rPr>
  </w:style>
  <w:style w:type="paragraph" w:styleId="8">
    <w:name w:val="toc 8"/>
    <w:basedOn w:val="1"/>
    <w:next w:val="1"/>
    <w:qFormat/>
    <w:uiPriority w:val="0"/>
    <w:pPr>
      <w:ind w:left="1470"/>
      <w:jc w:val="left"/>
    </w:pPr>
    <w:rPr>
      <w:rFonts w:asciiTheme="minorHAnsi" w:hAnsiTheme="minorHAnsi" w:cstheme="minorHAnsi"/>
      <w:sz w:val="18"/>
      <w:szCs w:val="18"/>
    </w:rPr>
  </w:style>
  <w:style w:type="paragraph" w:styleId="9">
    <w:name w:val="Balloon Text"/>
    <w:basedOn w:val="1"/>
    <w:link w:val="27"/>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13">
    <w:name w:val="toc 4"/>
    <w:basedOn w:val="1"/>
    <w:next w:val="1"/>
    <w:qFormat/>
    <w:uiPriority w:val="0"/>
    <w:pPr>
      <w:ind w:left="630"/>
      <w:jc w:val="left"/>
    </w:pPr>
    <w:rPr>
      <w:rFonts w:asciiTheme="minorHAnsi" w:hAnsiTheme="minorHAnsi" w:cstheme="minorHAnsi"/>
      <w:sz w:val="18"/>
      <w:szCs w:val="18"/>
    </w:rPr>
  </w:style>
  <w:style w:type="paragraph" w:styleId="14">
    <w:name w:val="toc 6"/>
    <w:basedOn w:val="1"/>
    <w:next w:val="1"/>
    <w:qFormat/>
    <w:uiPriority w:val="0"/>
    <w:pPr>
      <w:ind w:left="1050"/>
      <w:jc w:val="left"/>
    </w:pPr>
    <w:rPr>
      <w:rFonts w:asciiTheme="minorHAnsi" w:hAnsiTheme="minorHAnsi" w:cstheme="minorHAnsi"/>
      <w:sz w:val="18"/>
      <w:szCs w:val="18"/>
    </w:rPr>
  </w:style>
  <w:style w:type="paragraph" w:styleId="15">
    <w:name w:val="toc 2"/>
    <w:basedOn w:val="1"/>
    <w:next w:val="1"/>
    <w:qFormat/>
    <w:uiPriority w:val="39"/>
    <w:pPr>
      <w:tabs>
        <w:tab w:val="right" w:leader="dot" w:pos="8296"/>
      </w:tabs>
      <w:ind w:left="210" w:firstLine="400" w:firstLineChars="200"/>
      <w:jc w:val="left"/>
    </w:pPr>
    <w:rPr>
      <w:rFonts w:asciiTheme="minorHAnsi" w:hAnsiTheme="minorHAnsi" w:cstheme="minorHAnsi"/>
      <w:smallCaps/>
      <w:sz w:val="20"/>
      <w:szCs w:val="20"/>
    </w:rPr>
  </w:style>
  <w:style w:type="paragraph" w:styleId="16">
    <w:name w:val="toc 9"/>
    <w:basedOn w:val="1"/>
    <w:next w:val="1"/>
    <w:qFormat/>
    <w:uiPriority w:val="0"/>
    <w:pPr>
      <w:ind w:left="1680"/>
      <w:jc w:val="left"/>
    </w:pPr>
    <w:rPr>
      <w:rFonts w:asciiTheme="minorHAnsi" w:hAnsiTheme="minorHAnsi" w:cstheme="minorHAnsi"/>
      <w:sz w:val="18"/>
      <w:szCs w:val="18"/>
    </w:rPr>
  </w:style>
  <w:style w:type="paragraph" w:styleId="17">
    <w:name w:val="Normal (Web)"/>
    <w:basedOn w:val="1"/>
    <w:qFormat/>
    <w:uiPriority w:val="0"/>
    <w:pPr>
      <w:spacing w:beforeAutospacing="1" w:afterAutospacing="1" w:line="312" w:lineRule="auto"/>
      <w:ind w:firstLine="200" w:firstLineChars="200"/>
      <w:jc w:val="left"/>
    </w:pPr>
    <w:rPr>
      <w:kern w:val="0"/>
      <w:sz w:val="24"/>
      <w:szCs w:val="22"/>
    </w:rPr>
  </w:style>
  <w:style w:type="paragraph" w:styleId="18">
    <w:name w:val="index 1"/>
    <w:basedOn w:val="1"/>
    <w:next w:val="1"/>
    <w:unhideWhenUsed/>
    <w:qFormat/>
    <w:uiPriority w:val="0"/>
    <w:rPr>
      <w:rFonts w:ascii="Calibri" w:hAnsi="Calibri"/>
    </w:rPr>
  </w:style>
  <w:style w:type="paragraph" w:styleId="19">
    <w:name w:val="Title"/>
    <w:basedOn w:val="1"/>
    <w:next w:val="1"/>
    <w:link w:val="26"/>
    <w:qFormat/>
    <w:uiPriority w:val="0"/>
    <w:pPr>
      <w:spacing w:before="240" w:after="60"/>
      <w:jc w:val="center"/>
      <w:outlineLvl w:val="0"/>
    </w:pPr>
    <w:rPr>
      <w:rFonts w:asciiTheme="majorHAnsi" w:hAnsiTheme="majorHAnsi" w:eastAsiaTheme="majorEastAsia" w:cstheme="majorBidi"/>
      <w:b/>
      <w:bCs/>
      <w:sz w:val="32"/>
      <w:szCs w:val="32"/>
    </w:r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uiPriority w:val="0"/>
    <w:rPr>
      <w:sz w:val="21"/>
      <w:szCs w:val="21"/>
    </w:rPr>
  </w:style>
  <w:style w:type="paragraph" w:customStyle="1" w:styleId="24">
    <w:name w:val="列出段落1"/>
    <w:basedOn w:val="1"/>
    <w:qFormat/>
    <w:uiPriority w:val="34"/>
    <w:pPr>
      <w:ind w:firstLine="420" w:firstLineChars="200"/>
    </w:pPr>
    <w:rPr>
      <w:rFonts w:ascii="Calibri" w:hAnsi="Calibri" w:cs="黑体"/>
      <w:szCs w:val="22"/>
    </w:rPr>
  </w:style>
  <w:style w:type="paragraph" w:styleId="25">
    <w:name w:val="List Paragraph"/>
    <w:basedOn w:val="1"/>
    <w:qFormat/>
    <w:uiPriority w:val="34"/>
    <w:pPr>
      <w:ind w:firstLine="420" w:firstLineChars="200"/>
    </w:pPr>
  </w:style>
  <w:style w:type="character" w:customStyle="1" w:styleId="26">
    <w:name w:val="标题 字符"/>
    <w:basedOn w:val="21"/>
    <w:link w:val="19"/>
    <w:qFormat/>
    <w:uiPriority w:val="0"/>
    <w:rPr>
      <w:rFonts w:asciiTheme="majorHAnsi" w:hAnsiTheme="majorHAnsi" w:eastAsiaTheme="majorEastAsia" w:cstheme="majorBidi"/>
      <w:b/>
      <w:bCs/>
      <w:kern w:val="2"/>
      <w:sz w:val="32"/>
      <w:szCs w:val="32"/>
    </w:rPr>
  </w:style>
  <w:style w:type="character" w:customStyle="1" w:styleId="27">
    <w:name w:val="批注框文本 字符"/>
    <w:basedOn w:val="21"/>
    <w:link w:val="9"/>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FB9657-61E2-4D4D-91B1-FBF36B5FAEDB}">
  <ds:schemaRefs/>
</ds:datastoreItem>
</file>

<file path=docProps/app.xml><?xml version="1.0" encoding="utf-8"?>
<Properties xmlns="http://schemas.openxmlformats.org/officeDocument/2006/extended-properties" xmlns:vt="http://schemas.openxmlformats.org/officeDocument/2006/docPropsVTypes">
  <Template>Normal</Template>
  <Pages>19</Pages>
  <Words>7870</Words>
  <Characters>8223</Characters>
  <Lines>70</Lines>
  <Paragraphs>19</Paragraphs>
  <TotalTime>127</TotalTime>
  <ScaleCrop>false</ScaleCrop>
  <LinksUpToDate>false</LinksUpToDate>
  <CharactersWithSpaces>8297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2022-03-14T19:16:00Z</dcterms:created>
  <dc:creator>user</dc:creator>
  <cp:lastModifiedBy>15801</cp:lastModifiedBy>
  <cp:lastPrinted>2023-03-06T01:31:00Z</cp:lastPrinted>
  <dcterms:modified xsi:type="dcterms:W3CDTF">2024-05-20T02:51:39Z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346DCD0693A5411DBDE9154C7E3AD30F_13</vt:lpwstr>
  </property>
</Properties>
</file>